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069F8" w14:textId="77777777" w:rsidR="00085A41" w:rsidRDefault="00085A41" w:rsidP="00085A41">
      <w:pPr>
        <w:jc w:val="center"/>
        <w:rPr>
          <w:rFonts w:ascii="Arial" w:hAnsi="Arial" w:cs="Arial"/>
          <w:b/>
          <w:bCs/>
        </w:rPr>
      </w:pPr>
      <w:r>
        <w:rPr>
          <w:rFonts w:ascii="Arial" w:hAnsi="Arial" w:cs="Arial"/>
          <w:b/>
          <w:bCs/>
        </w:rPr>
        <w:t>Suicidality as a Syndrome: Rethinking Treatment Response and Non-Response Among Those Hospitalized for Elevated Suicide Risk</w:t>
      </w:r>
    </w:p>
    <w:p w14:paraId="7E1E0351" w14:textId="73378536" w:rsidR="00085A41" w:rsidRPr="003C4E17" w:rsidRDefault="00085A41" w:rsidP="00085A41">
      <w:pPr>
        <w:spacing w:after="0" w:line="480" w:lineRule="auto"/>
        <w:contextualSpacing/>
        <w:jc w:val="center"/>
        <w:rPr>
          <w:rFonts w:ascii="Times New Roman" w:eastAsia="Arial" w:hAnsi="Times New Roman" w:cs="Times New Roman"/>
          <w:bCs/>
          <w:vertAlign w:val="superscript"/>
        </w:rPr>
      </w:pPr>
      <w:r w:rsidRPr="007673FA">
        <w:rPr>
          <w:rFonts w:ascii="Times New Roman" w:eastAsia="Arial" w:hAnsi="Times New Roman" w:cs="Times New Roman"/>
          <w:bCs/>
          <w:color w:val="222222"/>
        </w:rPr>
        <w:t>M. David Rudd</w:t>
      </w:r>
      <w:r w:rsidRPr="007673FA">
        <w:rPr>
          <w:rFonts w:ascii="Times New Roman" w:eastAsia="Arial" w:hAnsi="Times New Roman" w:cs="Times New Roman"/>
          <w:bCs/>
          <w:color w:val="222222"/>
          <w:vertAlign w:val="superscript"/>
        </w:rPr>
        <w:t>1</w:t>
      </w:r>
      <w:r w:rsidRPr="007673FA">
        <w:rPr>
          <w:rFonts w:ascii="Times New Roman" w:eastAsia="Arial" w:hAnsi="Times New Roman" w:cs="Times New Roman"/>
          <w:bCs/>
          <w:color w:val="222222"/>
        </w:rPr>
        <w:t xml:space="preserve">, </w:t>
      </w:r>
      <w:r w:rsidRPr="0071289F">
        <w:rPr>
          <w:rFonts w:ascii="Times New Roman" w:eastAsia="Arial" w:hAnsi="Times New Roman" w:cs="Times New Roman"/>
          <w:bCs/>
          <w:color w:val="222222"/>
        </w:rPr>
        <w:t xml:space="preserve">Gretchen </w:t>
      </w:r>
      <w:r>
        <w:rPr>
          <w:rFonts w:ascii="Times New Roman" w:eastAsia="Arial" w:hAnsi="Times New Roman" w:cs="Times New Roman"/>
          <w:bCs/>
          <w:color w:val="222222"/>
        </w:rPr>
        <w:t xml:space="preserve">J. </w:t>
      </w:r>
      <w:r w:rsidRPr="0071289F">
        <w:rPr>
          <w:rFonts w:ascii="Times New Roman" w:eastAsia="Arial" w:hAnsi="Times New Roman" w:cs="Times New Roman"/>
          <w:bCs/>
          <w:color w:val="222222"/>
        </w:rPr>
        <w:t>Diefenbach</w:t>
      </w:r>
      <w:r>
        <w:rPr>
          <w:rFonts w:ascii="Times New Roman" w:eastAsia="Arial" w:hAnsi="Times New Roman" w:cs="Times New Roman"/>
          <w:bCs/>
          <w:color w:val="222222"/>
          <w:vertAlign w:val="superscript"/>
        </w:rPr>
        <w:t>2-3</w:t>
      </w:r>
      <w:r>
        <w:rPr>
          <w:rFonts w:ascii="Times New Roman" w:eastAsia="Arial" w:hAnsi="Times New Roman" w:cs="Times New Roman"/>
          <w:bCs/>
          <w:color w:val="222222"/>
        </w:rPr>
        <w:t xml:space="preserve">, </w:t>
      </w:r>
      <w:r w:rsidRPr="0071289F">
        <w:rPr>
          <w:rFonts w:ascii="Times New Roman" w:eastAsia="Arial" w:hAnsi="Times New Roman" w:cs="Times New Roman"/>
          <w:bCs/>
        </w:rPr>
        <w:t>Andrea</w:t>
      </w:r>
      <w:r w:rsidRPr="007673FA">
        <w:rPr>
          <w:rFonts w:ascii="Times New Roman" w:eastAsia="Arial" w:hAnsi="Times New Roman" w:cs="Times New Roman"/>
          <w:bCs/>
        </w:rPr>
        <w:t xml:space="preserve"> Pérez-</w:t>
      </w:r>
      <w:r w:rsidRPr="0014599D">
        <w:rPr>
          <w:rFonts w:ascii="Times New Roman" w:eastAsia="Arial" w:hAnsi="Times New Roman" w:cs="Times New Roman"/>
          <w:bCs/>
        </w:rPr>
        <w:t>Muñoz</w:t>
      </w:r>
      <w:r>
        <w:rPr>
          <w:rFonts w:ascii="Times New Roman" w:eastAsia="Arial" w:hAnsi="Times New Roman" w:cs="Times New Roman"/>
          <w:bCs/>
          <w:vertAlign w:val="superscript"/>
        </w:rPr>
        <w:t>1</w:t>
      </w:r>
      <w:r>
        <w:rPr>
          <w:rFonts w:ascii="Times New Roman" w:eastAsia="Arial" w:hAnsi="Times New Roman" w:cs="Times New Roman"/>
          <w:bCs/>
        </w:rPr>
        <w:t xml:space="preserve">, </w:t>
      </w:r>
      <w:r w:rsidRPr="007673FA">
        <w:rPr>
          <w:rFonts w:ascii="Times New Roman" w:eastAsia="Arial" w:hAnsi="Times New Roman" w:cs="Times New Roman"/>
          <w:bCs/>
          <w:color w:val="222222"/>
        </w:rPr>
        <w:t xml:space="preserve">Vivian L. </w:t>
      </w:r>
      <w:r w:rsidRPr="008E35DC">
        <w:rPr>
          <w:rFonts w:ascii="Times New Roman" w:eastAsia="Arial" w:hAnsi="Times New Roman" w:cs="Times New Roman"/>
          <w:bCs/>
          <w:color w:val="222222"/>
        </w:rPr>
        <w:t>Gleason</w:t>
      </w:r>
      <w:r w:rsidR="00F6346B">
        <w:rPr>
          <w:rFonts w:ascii="Times New Roman" w:eastAsia="Arial" w:hAnsi="Times New Roman" w:cs="Times New Roman"/>
          <w:bCs/>
          <w:color w:val="222222"/>
          <w:vertAlign w:val="superscript"/>
        </w:rPr>
        <w:t>1</w:t>
      </w:r>
      <w:r>
        <w:rPr>
          <w:rFonts w:ascii="Times New Roman" w:eastAsia="Arial" w:hAnsi="Times New Roman" w:cs="Times New Roman"/>
          <w:bCs/>
          <w:color w:val="222222"/>
        </w:rPr>
        <w:t xml:space="preserve">, </w:t>
      </w:r>
      <w:r w:rsidRPr="008E35DC">
        <w:rPr>
          <w:rFonts w:ascii="Times New Roman" w:eastAsia="Arial" w:hAnsi="Times New Roman" w:cs="Times New Roman"/>
          <w:bCs/>
          <w:color w:val="222222"/>
        </w:rPr>
        <w:t>Oliver</w:t>
      </w:r>
      <w:r w:rsidRPr="007673FA">
        <w:rPr>
          <w:rFonts w:ascii="Times New Roman" w:eastAsia="Arial" w:hAnsi="Times New Roman" w:cs="Times New Roman"/>
          <w:bCs/>
          <w:color w:val="222222"/>
        </w:rPr>
        <w:t xml:space="preserve"> Kratholm</w:t>
      </w:r>
      <w:r w:rsidRPr="007673FA">
        <w:rPr>
          <w:rFonts w:ascii="Times New Roman" w:eastAsia="Arial" w:hAnsi="Times New Roman" w:cs="Times New Roman"/>
          <w:bCs/>
          <w:color w:val="222222"/>
          <w:vertAlign w:val="superscript"/>
        </w:rPr>
        <w:t>1</w:t>
      </w:r>
      <w:r>
        <w:rPr>
          <w:rFonts w:ascii="Times New Roman" w:eastAsia="Arial" w:hAnsi="Times New Roman" w:cs="Times New Roman"/>
          <w:bCs/>
          <w:color w:val="222222"/>
        </w:rPr>
        <w:t>, David F. Tolin</w:t>
      </w:r>
      <w:r>
        <w:rPr>
          <w:rFonts w:ascii="Times New Roman" w:eastAsia="Arial" w:hAnsi="Times New Roman" w:cs="Times New Roman"/>
          <w:bCs/>
          <w:color w:val="222222"/>
          <w:vertAlign w:val="superscript"/>
        </w:rPr>
        <w:t>2-3</w:t>
      </w:r>
    </w:p>
    <w:p w14:paraId="60722B6A" w14:textId="77777777" w:rsidR="00085A41" w:rsidRDefault="00085A41" w:rsidP="00085A41">
      <w:pPr>
        <w:spacing w:after="0" w:line="480" w:lineRule="auto"/>
        <w:contextualSpacing/>
        <w:rPr>
          <w:rFonts w:ascii="Times New Roman" w:eastAsia="Arial" w:hAnsi="Times New Roman" w:cs="Times New Roman"/>
          <w:bCs/>
          <w:color w:val="222222"/>
        </w:rPr>
      </w:pPr>
      <w:r>
        <w:rPr>
          <w:rFonts w:ascii="Times New Roman" w:eastAsia="Arial" w:hAnsi="Times New Roman" w:cs="Times New Roman"/>
          <w:bCs/>
          <w:color w:val="222222"/>
          <w:vertAlign w:val="superscript"/>
        </w:rPr>
        <w:t>1</w:t>
      </w:r>
      <w:r>
        <w:rPr>
          <w:rFonts w:ascii="Times New Roman" w:eastAsia="Arial" w:hAnsi="Times New Roman" w:cs="Times New Roman"/>
          <w:bCs/>
          <w:color w:val="222222"/>
        </w:rPr>
        <w:t>University of Memphis, Department of Psychology</w:t>
      </w:r>
    </w:p>
    <w:p w14:paraId="16F87E6B" w14:textId="77777777" w:rsidR="00085A41" w:rsidRPr="003C4E17" w:rsidRDefault="00085A41" w:rsidP="00085A41">
      <w:pPr>
        <w:spacing w:after="0" w:line="480" w:lineRule="auto"/>
        <w:contextualSpacing/>
        <w:rPr>
          <w:rFonts w:ascii="Times New Roman" w:eastAsia="Arial" w:hAnsi="Times New Roman" w:cs="Times New Roman"/>
          <w:bCs/>
          <w:color w:val="222222"/>
        </w:rPr>
      </w:pPr>
      <w:r>
        <w:rPr>
          <w:rFonts w:ascii="Times New Roman" w:eastAsia="Arial" w:hAnsi="Times New Roman" w:cs="Times New Roman"/>
          <w:bCs/>
          <w:color w:val="222222"/>
          <w:vertAlign w:val="superscript"/>
        </w:rPr>
        <w:t>2-3</w:t>
      </w:r>
      <w:r w:rsidRPr="003C4E17">
        <w:t xml:space="preserve"> </w:t>
      </w:r>
      <w:r w:rsidRPr="003C4E17">
        <w:rPr>
          <w:rFonts w:ascii="Times New Roman" w:eastAsia="Arial" w:hAnsi="Times New Roman" w:cs="Times New Roman"/>
          <w:bCs/>
          <w:color w:val="222222"/>
        </w:rPr>
        <w:t>Anxiety Disorders Center, Institute of Living, Hartford, CT, USA Yale University School of Medicine, USA</w:t>
      </w:r>
    </w:p>
    <w:p w14:paraId="56167A7A" w14:textId="77777777" w:rsidR="00085A41" w:rsidRDefault="00085A41" w:rsidP="00085A41">
      <w:pPr>
        <w:spacing w:after="0" w:line="480" w:lineRule="auto"/>
        <w:contextualSpacing/>
        <w:rPr>
          <w:rFonts w:ascii="Times New Roman" w:eastAsia="Arial" w:hAnsi="Times New Roman" w:cs="Times New Roman"/>
          <w:b/>
          <w:color w:val="222222"/>
        </w:rPr>
      </w:pPr>
      <w:r>
        <w:rPr>
          <w:rFonts w:ascii="Times New Roman" w:eastAsia="Arial" w:hAnsi="Times New Roman" w:cs="Times New Roman"/>
          <w:b/>
          <w:color w:val="222222"/>
        </w:rPr>
        <w:t xml:space="preserve">Running Title: </w:t>
      </w:r>
      <w:r w:rsidRPr="008E35DC">
        <w:rPr>
          <w:rFonts w:ascii="Times New Roman" w:eastAsia="Arial" w:hAnsi="Times New Roman" w:cs="Times New Roman"/>
          <w:bCs/>
          <w:color w:val="222222"/>
        </w:rPr>
        <w:t>Suicidality as a Syndrome</w:t>
      </w:r>
    </w:p>
    <w:p w14:paraId="37658F95" w14:textId="77777777" w:rsidR="00085A41" w:rsidRPr="008E35DC" w:rsidRDefault="00085A41" w:rsidP="00085A41">
      <w:pPr>
        <w:spacing w:after="0" w:line="480" w:lineRule="auto"/>
        <w:contextualSpacing/>
        <w:rPr>
          <w:rFonts w:ascii="Times New Roman" w:eastAsia="Arial" w:hAnsi="Times New Roman" w:cs="Times New Roman"/>
          <w:b/>
          <w:color w:val="222222"/>
        </w:rPr>
      </w:pPr>
    </w:p>
    <w:p w14:paraId="4E422B3C" w14:textId="77777777" w:rsidR="00085A41" w:rsidRPr="007337BD" w:rsidRDefault="00085A41" w:rsidP="00085A41">
      <w:pPr>
        <w:spacing w:after="0" w:line="480" w:lineRule="auto"/>
        <w:contextualSpacing/>
        <w:rPr>
          <w:rFonts w:ascii="Times New Roman" w:hAnsi="Times New Roman" w:cs="Times New Roman"/>
          <w:color w:val="222222"/>
        </w:rPr>
      </w:pPr>
      <w:r w:rsidRPr="007673FA">
        <w:rPr>
          <w:rFonts w:ascii="Times New Roman" w:eastAsia="Arial" w:hAnsi="Times New Roman" w:cs="Times New Roman"/>
          <w:b/>
          <w:color w:val="222222"/>
        </w:rPr>
        <w:t>Declaration of Interests:</w:t>
      </w:r>
      <w:r w:rsidRPr="007673FA">
        <w:rPr>
          <w:rFonts w:ascii="Times New Roman" w:eastAsia="Arial" w:hAnsi="Times New Roman" w:cs="Times New Roman"/>
          <w:color w:val="222222"/>
        </w:rPr>
        <w:t xml:space="preserve"> </w:t>
      </w:r>
      <w:r w:rsidRPr="007673FA">
        <w:rPr>
          <w:rFonts w:ascii="Times New Roman" w:hAnsi="Times New Roman" w:cs="Times New Roman"/>
          <w:color w:val="222222"/>
        </w:rPr>
        <w:t>The authors declare that they have no known competing financial interests or personal relationships that could have appeared to influence the work reported in this manuscript.</w:t>
      </w:r>
    </w:p>
    <w:p w14:paraId="5B816A0C" w14:textId="77777777" w:rsidR="00085A41" w:rsidRPr="007673FA" w:rsidRDefault="00085A41" w:rsidP="00085A41">
      <w:pPr>
        <w:spacing w:after="0" w:line="480" w:lineRule="auto"/>
        <w:contextualSpacing/>
        <w:rPr>
          <w:rFonts w:ascii="Times New Roman" w:eastAsia="Arial" w:hAnsi="Times New Roman" w:cs="Times New Roman"/>
        </w:rPr>
      </w:pPr>
      <w:r w:rsidRPr="007673FA">
        <w:rPr>
          <w:rFonts w:ascii="Times New Roman" w:eastAsia="Arial" w:hAnsi="Times New Roman" w:cs="Times New Roman"/>
          <w:b/>
          <w:color w:val="222222"/>
        </w:rPr>
        <w:t>Disclaimer:</w:t>
      </w:r>
      <w:r w:rsidRPr="007673FA">
        <w:rPr>
          <w:rFonts w:ascii="Times New Roman" w:eastAsia="Arial" w:hAnsi="Times New Roman" w:cs="Times New Roman"/>
          <w:color w:val="222222"/>
        </w:rPr>
        <w:t xml:space="preserve"> </w:t>
      </w:r>
      <w:r w:rsidRPr="007673FA">
        <w:rPr>
          <w:rFonts w:ascii="Times New Roman" w:eastAsia="Arial" w:hAnsi="Times New Roman" w:cs="Times New Roman"/>
        </w:rPr>
        <w:t>Opinions, interpretations, conclusions and recommendations are those of the authors and do not reflect an endorsement by or the official policy or position of the Department of Defense, the Department of Veterans Affairs, or the U.S. Government.</w:t>
      </w:r>
    </w:p>
    <w:p w14:paraId="0ECE329E" w14:textId="77777777" w:rsidR="00085A41" w:rsidRPr="007673FA" w:rsidRDefault="00085A41" w:rsidP="00085A41">
      <w:pPr>
        <w:spacing w:after="0" w:line="480" w:lineRule="auto"/>
        <w:contextualSpacing/>
        <w:rPr>
          <w:rFonts w:ascii="Times New Roman" w:eastAsia="Arial" w:hAnsi="Times New Roman" w:cs="Times New Roman"/>
          <w:color w:val="222222"/>
        </w:rPr>
      </w:pPr>
      <w:r w:rsidRPr="007673FA">
        <w:rPr>
          <w:rFonts w:ascii="Times New Roman" w:eastAsia="Arial" w:hAnsi="Times New Roman" w:cs="Times New Roman"/>
          <w:b/>
          <w:color w:val="222222"/>
        </w:rPr>
        <w:t>Funding Statement:</w:t>
      </w:r>
      <w:r w:rsidRPr="007673FA">
        <w:rPr>
          <w:rFonts w:ascii="Times New Roman" w:eastAsia="Arial" w:hAnsi="Times New Roman" w:cs="Times New Roman"/>
          <w:color w:val="222222"/>
        </w:rPr>
        <w:t xml:space="preserve"> This project was not supported by grant funds.</w:t>
      </w:r>
    </w:p>
    <w:p w14:paraId="17788C3A" w14:textId="77777777" w:rsidR="00085A41" w:rsidRPr="007673FA" w:rsidRDefault="00085A41" w:rsidP="00085A41">
      <w:pPr>
        <w:spacing w:after="0" w:line="480" w:lineRule="auto"/>
        <w:contextualSpacing/>
        <w:rPr>
          <w:rFonts w:ascii="Times New Roman" w:hAnsi="Times New Roman" w:cs="Times New Roman"/>
        </w:rPr>
      </w:pPr>
      <w:r w:rsidRPr="007673FA">
        <w:rPr>
          <w:rFonts w:ascii="Times New Roman" w:eastAsia="Arial" w:hAnsi="Times New Roman" w:cs="Times New Roman"/>
          <w:b/>
          <w:color w:val="222222"/>
        </w:rPr>
        <w:t>Corresponding Author:</w:t>
      </w:r>
      <w:r w:rsidRPr="007673FA">
        <w:rPr>
          <w:rFonts w:ascii="Times New Roman" w:eastAsia="Arial" w:hAnsi="Times New Roman" w:cs="Times New Roman"/>
          <w:color w:val="222222"/>
        </w:rPr>
        <w:t xml:space="preserve"> M. David Rudd, Ph.D., ABPP, University of Memphis, Department of Psychology, 400 Fogelman Drive, Memphis, TN 38152. Email: </w:t>
      </w:r>
      <w:hyperlink r:id="rId7">
        <w:r w:rsidRPr="007673FA">
          <w:rPr>
            <w:rFonts w:ascii="Times New Roman" w:eastAsia="Arial" w:hAnsi="Times New Roman" w:cs="Times New Roman"/>
            <w:color w:val="467886"/>
            <w:u w:val="single"/>
          </w:rPr>
          <w:t>mdrudd@memphis.edu</w:t>
        </w:r>
      </w:hyperlink>
      <w:r w:rsidRPr="007673FA">
        <w:rPr>
          <w:rFonts w:ascii="Times New Roman" w:hAnsi="Times New Roman" w:cs="Times New Roman"/>
          <w:color w:val="222222"/>
          <w:shd w:val="clear" w:color="auto" w:fill="F9F9F9"/>
        </w:rPr>
        <w:t xml:space="preserve"> </w:t>
      </w:r>
    </w:p>
    <w:p w14:paraId="06A842B9" w14:textId="77777777" w:rsidR="00085A41" w:rsidRDefault="00085A41" w:rsidP="00085A41">
      <w:pPr>
        <w:spacing w:after="0" w:line="480" w:lineRule="auto"/>
        <w:contextualSpacing/>
        <w:rPr>
          <w:rFonts w:ascii="Times New Roman" w:hAnsi="Times New Roman" w:cs="Times New Roman"/>
        </w:rPr>
      </w:pPr>
      <w:r w:rsidRPr="007673FA">
        <w:rPr>
          <w:rFonts w:ascii="Times New Roman" w:hAnsi="Times New Roman" w:cs="Times New Roman"/>
          <w:b/>
          <w:bCs/>
        </w:rPr>
        <w:t xml:space="preserve">Data availability statement: </w:t>
      </w:r>
      <w:r w:rsidRPr="007673FA">
        <w:rPr>
          <w:rFonts w:ascii="Times New Roman" w:hAnsi="Times New Roman" w:cs="Times New Roman"/>
        </w:rPr>
        <w:t>The data that support the findings of this study are available on request from the corresponding author. </w:t>
      </w:r>
    </w:p>
    <w:p w14:paraId="001468C9" w14:textId="77777777" w:rsidR="00085A41" w:rsidRPr="00D75F47" w:rsidRDefault="00085A41" w:rsidP="00085A41">
      <w:pPr>
        <w:spacing w:after="0" w:line="480" w:lineRule="auto"/>
        <w:contextualSpacing/>
        <w:rPr>
          <w:rFonts w:ascii="Times New Roman" w:hAnsi="Times New Roman" w:cs="Times New Roman"/>
        </w:rPr>
      </w:pPr>
      <w:r w:rsidRPr="267E01F9">
        <w:rPr>
          <w:rFonts w:ascii="Times New Roman" w:hAnsi="Times New Roman" w:cs="Times New Roman"/>
          <w:b/>
          <w:bCs/>
        </w:rPr>
        <w:t>Author Contributions:</w:t>
      </w:r>
      <w:r w:rsidRPr="267E01F9">
        <w:rPr>
          <w:rFonts w:ascii="Times New Roman" w:hAnsi="Times New Roman" w:cs="Times New Roman"/>
        </w:rPr>
        <w:t xml:space="preserve"> All authors </w:t>
      </w:r>
      <w:r>
        <w:rPr>
          <w:rFonts w:ascii="Times New Roman" w:hAnsi="Times New Roman" w:cs="Times New Roman"/>
        </w:rPr>
        <w:t xml:space="preserve">participated in all aspects of the manuscript and reviewed and approved prior to submission. </w:t>
      </w:r>
    </w:p>
    <w:p w14:paraId="2A0495A0" w14:textId="77777777" w:rsidR="00085A41" w:rsidRDefault="00085A41" w:rsidP="00085A41"/>
    <w:p w14:paraId="56D38DB6" w14:textId="77777777" w:rsidR="00085A41" w:rsidRDefault="00085A41" w:rsidP="00991FC2">
      <w:pPr>
        <w:jc w:val="center"/>
        <w:rPr>
          <w:rFonts w:ascii="Arial" w:hAnsi="Arial" w:cs="Arial"/>
          <w:b/>
          <w:bCs/>
        </w:rPr>
      </w:pPr>
    </w:p>
    <w:p w14:paraId="30AFD032" w14:textId="497CE114" w:rsidR="001D25C1" w:rsidRDefault="00874F1D" w:rsidP="00991FC2">
      <w:pPr>
        <w:jc w:val="center"/>
        <w:rPr>
          <w:rFonts w:ascii="Arial" w:hAnsi="Arial" w:cs="Arial"/>
          <w:b/>
          <w:bCs/>
        </w:rPr>
      </w:pPr>
      <w:r>
        <w:rPr>
          <w:rFonts w:ascii="Arial" w:hAnsi="Arial" w:cs="Arial"/>
          <w:b/>
          <w:bCs/>
        </w:rPr>
        <w:lastRenderedPageBreak/>
        <w:t>Abstract</w:t>
      </w:r>
    </w:p>
    <w:p w14:paraId="3D722397" w14:textId="77777777" w:rsidR="00991FC2" w:rsidRDefault="00991FC2" w:rsidP="00991FC2">
      <w:pPr>
        <w:jc w:val="center"/>
        <w:rPr>
          <w:rFonts w:ascii="Arial" w:hAnsi="Arial" w:cs="Arial"/>
          <w:b/>
          <w:bCs/>
        </w:rPr>
      </w:pPr>
    </w:p>
    <w:p w14:paraId="049B108C" w14:textId="3797D6B4" w:rsidR="00991FC2" w:rsidRPr="00BB1246" w:rsidRDefault="00991FC2" w:rsidP="00991FC2">
      <w:pPr>
        <w:spacing w:after="0" w:line="480" w:lineRule="auto"/>
        <w:ind w:firstLine="720"/>
        <w:contextualSpacing/>
        <w:rPr>
          <w:rFonts w:ascii="Arial" w:hAnsi="Arial" w:cs="Arial"/>
          <w:kern w:val="0"/>
        </w:rPr>
      </w:pPr>
      <w:r>
        <w:rPr>
          <w:rFonts w:ascii="Arial" w:hAnsi="Arial" w:cs="Arial"/>
          <w:kern w:val="0"/>
        </w:rPr>
        <w:t>Consistent with the underlying theory for Brief Cognitive Therapy for Suicide Prevention (BCBT-SP) which conceptualizes elevated suicidality as a function</w:t>
      </w:r>
      <w:r w:rsidRPr="00BB1246">
        <w:rPr>
          <w:rFonts w:ascii="Arial" w:hAnsi="Arial" w:cs="Arial"/>
          <w:kern w:val="0"/>
        </w:rPr>
        <w:t xml:space="preserve"> of a suicide-specific syndrome</w:t>
      </w:r>
      <w:r w:rsidR="00DE6ED3">
        <w:rPr>
          <w:rFonts w:ascii="Arial" w:hAnsi="Arial" w:cs="Arial"/>
          <w:kern w:val="0"/>
        </w:rPr>
        <w:t xml:space="preserve"> (i.e. the suicidal mode),</w:t>
      </w:r>
      <w:r w:rsidRPr="00BB1246">
        <w:rPr>
          <w:rFonts w:ascii="Arial" w:hAnsi="Arial" w:cs="Arial"/>
          <w:kern w:val="0"/>
        </w:rPr>
        <w:t xml:space="preserve"> the current study </w:t>
      </w:r>
      <w:r w:rsidR="00DE6ED3">
        <w:rPr>
          <w:rFonts w:ascii="Arial" w:hAnsi="Arial" w:cs="Arial"/>
          <w:kern w:val="0"/>
        </w:rPr>
        <w:t>evaluate</w:t>
      </w:r>
      <w:r w:rsidR="00C852A8">
        <w:rPr>
          <w:rFonts w:ascii="Arial" w:hAnsi="Arial" w:cs="Arial"/>
          <w:kern w:val="0"/>
        </w:rPr>
        <w:t>d</w:t>
      </w:r>
      <w:r w:rsidRPr="00BB1246">
        <w:rPr>
          <w:rFonts w:ascii="Arial" w:hAnsi="Arial" w:cs="Arial"/>
          <w:kern w:val="0"/>
        </w:rPr>
        <w:t xml:space="preserve"> clinically meaningful change</w:t>
      </w:r>
      <w:r w:rsidR="00604FF1">
        <w:rPr>
          <w:rFonts w:ascii="Arial" w:hAnsi="Arial" w:cs="Arial"/>
          <w:kern w:val="0"/>
        </w:rPr>
        <w:t xml:space="preserve"> at the syndrome-level, </w:t>
      </w:r>
      <w:r w:rsidR="003306FE">
        <w:rPr>
          <w:rFonts w:ascii="Arial" w:hAnsi="Arial" w:cs="Arial"/>
          <w:kern w:val="0"/>
        </w:rPr>
        <w:t>across</w:t>
      </w:r>
      <w:r w:rsidRPr="00BB1246">
        <w:rPr>
          <w:rFonts w:ascii="Arial" w:hAnsi="Arial" w:cs="Arial"/>
          <w:kern w:val="0"/>
        </w:rPr>
        <w:t xml:space="preserve"> affective, cognitive, and behavioral domains</w:t>
      </w:r>
      <w:r w:rsidR="00604FF1">
        <w:rPr>
          <w:rFonts w:ascii="Arial" w:hAnsi="Arial" w:cs="Arial"/>
          <w:kern w:val="0"/>
        </w:rPr>
        <w:t>.</w:t>
      </w:r>
      <w:r w:rsidRPr="00BB1246">
        <w:rPr>
          <w:rFonts w:ascii="Arial" w:hAnsi="Arial" w:cs="Arial"/>
          <w:kern w:val="0"/>
        </w:rPr>
        <w:t xml:space="preserve"> </w:t>
      </w:r>
      <w:r w:rsidR="00DE6F26">
        <w:rPr>
          <w:rFonts w:ascii="Arial" w:hAnsi="Arial" w:cs="Arial"/>
          <w:kern w:val="0"/>
        </w:rPr>
        <w:t>D</w:t>
      </w:r>
      <w:r w:rsidRPr="00BB1246">
        <w:rPr>
          <w:rFonts w:ascii="Arial" w:hAnsi="Arial" w:cs="Arial"/>
          <w:kern w:val="0"/>
        </w:rPr>
        <w:t>ifferences in treatment response and non-response</w:t>
      </w:r>
      <w:r w:rsidR="000F13C4">
        <w:rPr>
          <w:rFonts w:ascii="Arial" w:hAnsi="Arial" w:cs="Arial"/>
          <w:kern w:val="0"/>
        </w:rPr>
        <w:t xml:space="preserve"> rates</w:t>
      </w:r>
      <w:r w:rsidR="003306FE">
        <w:rPr>
          <w:rFonts w:ascii="Arial" w:hAnsi="Arial" w:cs="Arial"/>
          <w:kern w:val="0"/>
        </w:rPr>
        <w:t xml:space="preserve"> across treatment as usual and BCBT</w:t>
      </w:r>
      <w:r w:rsidR="000F13C4">
        <w:rPr>
          <w:rFonts w:ascii="Arial" w:hAnsi="Arial" w:cs="Arial"/>
          <w:kern w:val="0"/>
        </w:rPr>
        <w:t>-SP</w:t>
      </w:r>
      <w:r w:rsidR="003306FE">
        <w:rPr>
          <w:rFonts w:ascii="Arial" w:hAnsi="Arial" w:cs="Arial"/>
          <w:kern w:val="0"/>
        </w:rPr>
        <w:t xml:space="preserve"> conditions</w:t>
      </w:r>
      <w:r w:rsidR="000F13C4">
        <w:rPr>
          <w:rFonts w:ascii="Arial" w:hAnsi="Arial" w:cs="Arial"/>
          <w:kern w:val="0"/>
        </w:rPr>
        <w:t xml:space="preserve"> were explored</w:t>
      </w:r>
      <w:r w:rsidRPr="00BB1246">
        <w:rPr>
          <w:rFonts w:ascii="Arial" w:hAnsi="Arial" w:cs="Arial"/>
          <w:kern w:val="0"/>
        </w:rPr>
        <w:t>. Th</w:t>
      </w:r>
      <w:r w:rsidR="00C852A8">
        <w:rPr>
          <w:rFonts w:ascii="Arial" w:hAnsi="Arial" w:cs="Arial"/>
          <w:kern w:val="0"/>
        </w:rPr>
        <w:t>is</w:t>
      </w:r>
      <w:r w:rsidRPr="00BB1246">
        <w:rPr>
          <w:rFonts w:ascii="Arial" w:hAnsi="Arial" w:cs="Arial"/>
          <w:kern w:val="0"/>
        </w:rPr>
        <w:t xml:space="preserve"> is a secondary analysis of a</w:t>
      </w:r>
      <w:r w:rsidR="00DE6ED3">
        <w:rPr>
          <w:rFonts w:ascii="Arial" w:hAnsi="Arial" w:cs="Arial"/>
          <w:kern w:val="0"/>
        </w:rPr>
        <w:t xml:space="preserve"> randomized clinical trial</w:t>
      </w:r>
      <w:r w:rsidRPr="00BB1246">
        <w:rPr>
          <w:rFonts w:ascii="Arial" w:hAnsi="Arial" w:cs="Arial"/>
          <w:kern w:val="0"/>
        </w:rPr>
        <w:t xml:space="preserve"> evaluating an inpatient adaptation of brief cognitive behavioral therapy for suicide</w:t>
      </w:r>
      <w:r w:rsidR="00C852A8">
        <w:rPr>
          <w:rFonts w:ascii="Arial" w:hAnsi="Arial" w:cs="Arial"/>
          <w:kern w:val="0"/>
        </w:rPr>
        <w:t xml:space="preserve"> prevention</w:t>
      </w:r>
      <w:r w:rsidR="00DE6ED3">
        <w:rPr>
          <w:rFonts w:ascii="Arial" w:hAnsi="Arial" w:cs="Arial"/>
          <w:kern w:val="0"/>
        </w:rPr>
        <w:t>-inpatient</w:t>
      </w:r>
      <w:r w:rsidRPr="00BB1246">
        <w:rPr>
          <w:rFonts w:ascii="Arial" w:hAnsi="Arial" w:cs="Arial"/>
          <w:kern w:val="0"/>
        </w:rPr>
        <w:t xml:space="preserve"> (BCBT-I). Results </w:t>
      </w:r>
      <w:r w:rsidR="00C852A8">
        <w:rPr>
          <w:rFonts w:ascii="Arial" w:hAnsi="Arial" w:cs="Arial"/>
          <w:kern w:val="0"/>
        </w:rPr>
        <w:t>indicate</w:t>
      </w:r>
      <w:r w:rsidRPr="00BB1246">
        <w:rPr>
          <w:rFonts w:ascii="Arial" w:hAnsi="Arial" w:cs="Arial"/>
          <w:kern w:val="0"/>
        </w:rPr>
        <w:t xml:space="preserve"> that BCBT-I was associated with improved treatment response (</w:t>
      </w:r>
      <w:r w:rsidR="00C852A8">
        <w:rPr>
          <w:rFonts w:ascii="Arial" w:hAnsi="Arial" w:cs="Arial"/>
          <w:kern w:val="0"/>
        </w:rPr>
        <w:t>defined as</w:t>
      </w:r>
      <w:r w:rsidRPr="00BB1246">
        <w:rPr>
          <w:rFonts w:ascii="Arial" w:hAnsi="Arial" w:cs="Arial"/>
          <w:kern w:val="0"/>
        </w:rPr>
        <w:t xml:space="preserve"> significant change across all domains) and reduced treatment non-response rates</w:t>
      </w:r>
      <w:r w:rsidR="00DE6ED3">
        <w:rPr>
          <w:rFonts w:ascii="Arial" w:hAnsi="Arial" w:cs="Arial"/>
          <w:kern w:val="0"/>
        </w:rPr>
        <w:t xml:space="preserve"> when compared to treatment as usual</w:t>
      </w:r>
      <w:r w:rsidRPr="00BB1246">
        <w:rPr>
          <w:rFonts w:ascii="Arial" w:hAnsi="Arial" w:cs="Arial"/>
          <w:kern w:val="0"/>
        </w:rPr>
        <w:t>. Results also</w:t>
      </w:r>
      <w:r w:rsidR="007E7DC8">
        <w:rPr>
          <w:rFonts w:ascii="Arial" w:hAnsi="Arial" w:cs="Arial"/>
          <w:kern w:val="0"/>
        </w:rPr>
        <w:t xml:space="preserve"> reveal</w:t>
      </w:r>
      <w:r w:rsidRPr="00BB1246">
        <w:rPr>
          <w:rFonts w:ascii="Arial" w:hAnsi="Arial" w:cs="Arial"/>
          <w:kern w:val="0"/>
        </w:rPr>
        <w:t xml:space="preserve"> differences in ratings of helpfulness o</w:t>
      </w:r>
      <w:r w:rsidR="007E7DC8">
        <w:rPr>
          <w:rFonts w:ascii="Arial" w:hAnsi="Arial" w:cs="Arial"/>
          <w:kern w:val="0"/>
        </w:rPr>
        <w:t>f</w:t>
      </w:r>
      <w:r w:rsidRPr="00BB1246">
        <w:rPr>
          <w:rFonts w:ascii="Arial" w:hAnsi="Arial" w:cs="Arial"/>
          <w:kern w:val="0"/>
        </w:rPr>
        <w:t xml:space="preserve"> various treatment components, as well as differences in</w:t>
      </w:r>
      <w:r w:rsidR="00DE6ED3">
        <w:rPr>
          <w:rFonts w:ascii="Arial" w:hAnsi="Arial" w:cs="Arial"/>
          <w:kern w:val="0"/>
        </w:rPr>
        <w:t xml:space="preserve"> </w:t>
      </w:r>
      <w:r w:rsidR="007E7DC8">
        <w:rPr>
          <w:rFonts w:ascii="Arial" w:hAnsi="Arial" w:cs="Arial"/>
          <w:kern w:val="0"/>
        </w:rPr>
        <w:t xml:space="preserve">a range of </w:t>
      </w:r>
      <w:r w:rsidR="00DE6ED3">
        <w:rPr>
          <w:rFonts w:ascii="Arial" w:hAnsi="Arial" w:cs="Arial"/>
          <w:kern w:val="0"/>
        </w:rPr>
        <w:t>associated</w:t>
      </w:r>
      <w:r w:rsidRPr="00BB1246">
        <w:rPr>
          <w:rFonts w:ascii="Arial" w:hAnsi="Arial" w:cs="Arial"/>
          <w:kern w:val="0"/>
        </w:rPr>
        <w:t xml:space="preserve"> suicide-related outcomes (wish to die, hopelessness, impulsivity, and time to suicide attempt)</w:t>
      </w:r>
      <w:r w:rsidR="007E7DC8">
        <w:rPr>
          <w:rFonts w:ascii="Arial" w:hAnsi="Arial" w:cs="Arial"/>
          <w:kern w:val="0"/>
        </w:rPr>
        <w:t xml:space="preserve"> across treatment conditions</w:t>
      </w:r>
      <w:r w:rsidRPr="00BB1246">
        <w:rPr>
          <w:rFonts w:ascii="Arial" w:hAnsi="Arial" w:cs="Arial"/>
          <w:kern w:val="0"/>
        </w:rPr>
        <w:t>.</w:t>
      </w:r>
      <w:r w:rsidR="007E7DC8">
        <w:rPr>
          <w:rFonts w:ascii="Arial" w:hAnsi="Arial" w:cs="Arial"/>
          <w:kern w:val="0"/>
        </w:rPr>
        <w:t xml:space="preserve"> </w:t>
      </w:r>
      <w:r w:rsidRPr="00BB1246">
        <w:rPr>
          <w:rFonts w:ascii="Arial" w:hAnsi="Arial" w:cs="Arial"/>
          <w:kern w:val="0"/>
        </w:rPr>
        <w:t xml:space="preserve">The current study may </w:t>
      </w:r>
      <w:r w:rsidR="007E7DC8">
        <w:rPr>
          <w:rFonts w:ascii="Arial" w:hAnsi="Arial" w:cs="Arial"/>
          <w:kern w:val="0"/>
        </w:rPr>
        <w:t xml:space="preserve">help identify </w:t>
      </w:r>
      <w:r w:rsidRPr="00BB1246">
        <w:rPr>
          <w:rFonts w:ascii="Arial" w:hAnsi="Arial" w:cs="Arial"/>
          <w:kern w:val="0"/>
        </w:rPr>
        <w:t>unique indicators of treatment response t</w:t>
      </w:r>
      <w:r w:rsidR="00586D1C">
        <w:rPr>
          <w:rFonts w:ascii="Arial" w:hAnsi="Arial" w:cs="Arial"/>
          <w:kern w:val="0"/>
        </w:rPr>
        <w:t>o</w:t>
      </w:r>
      <w:r w:rsidRPr="00BB1246">
        <w:rPr>
          <w:rFonts w:ascii="Arial" w:hAnsi="Arial" w:cs="Arial"/>
          <w:kern w:val="0"/>
        </w:rPr>
        <w:t xml:space="preserve"> inform clinical strategies for suicide </w:t>
      </w:r>
      <w:r w:rsidR="007E7DC8">
        <w:rPr>
          <w:rFonts w:ascii="Arial" w:hAnsi="Arial" w:cs="Arial"/>
          <w:kern w:val="0"/>
        </w:rPr>
        <w:t>prevention</w:t>
      </w:r>
      <w:r w:rsidR="00DE6ED3">
        <w:rPr>
          <w:rFonts w:ascii="Arial" w:hAnsi="Arial" w:cs="Arial"/>
          <w:kern w:val="0"/>
        </w:rPr>
        <w:t xml:space="preserve"> in clinical care</w:t>
      </w:r>
      <w:r w:rsidR="00F70830">
        <w:rPr>
          <w:rFonts w:ascii="Arial" w:hAnsi="Arial" w:cs="Arial"/>
          <w:kern w:val="0"/>
        </w:rPr>
        <w:t>, along with identify</w:t>
      </w:r>
      <w:r w:rsidR="00586D1C">
        <w:rPr>
          <w:rFonts w:ascii="Arial" w:hAnsi="Arial" w:cs="Arial"/>
          <w:kern w:val="0"/>
        </w:rPr>
        <w:t>ing</w:t>
      </w:r>
      <w:r w:rsidR="00F70830">
        <w:rPr>
          <w:rFonts w:ascii="Arial" w:hAnsi="Arial" w:cs="Arial"/>
          <w:kern w:val="0"/>
        </w:rPr>
        <w:t xml:space="preserve"> new strategies to evaluate outcomes of suicide-specific interventions</w:t>
      </w:r>
      <w:r w:rsidR="00586D1C">
        <w:rPr>
          <w:rFonts w:ascii="Arial" w:hAnsi="Arial" w:cs="Arial"/>
          <w:kern w:val="0"/>
        </w:rPr>
        <w:t xml:space="preserve"> in contrast to isolated outcomes like suicidal ideation or suicide attempts</w:t>
      </w:r>
      <w:r w:rsidRPr="00BB1246">
        <w:rPr>
          <w:rFonts w:ascii="Arial" w:hAnsi="Arial" w:cs="Arial"/>
          <w:kern w:val="0"/>
        </w:rPr>
        <w:t>.</w:t>
      </w:r>
    </w:p>
    <w:p w14:paraId="5C27F97D" w14:textId="77777777" w:rsidR="00991FC2" w:rsidRDefault="00991FC2" w:rsidP="00991FC2">
      <w:pPr>
        <w:rPr>
          <w:rFonts w:ascii="Arial" w:hAnsi="Arial" w:cs="Arial"/>
          <w:b/>
          <w:bCs/>
        </w:rPr>
      </w:pPr>
    </w:p>
    <w:p w14:paraId="5DF73A8D" w14:textId="081A027A" w:rsidR="00874F1D" w:rsidRDefault="00874F1D" w:rsidP="00874F1D">
      <w:pPr>
        <w:rPr>
          <w:rFonts w:ascii="Arial" w:hAnsi="Arial" w:cs="Arial"/>
          <w:b/>
          <w:bCs/>
        </w:rPr>
      </w:pPr>
      <w:r>
        <w:rPr>
          <w:rFonts w:ascii="Arial" w:hAnsi="Arial" w:cs="Arial"/>
          <w:b/>
          <w:bCs/>
        </w:rPr>
        <w:br w:type="page"/>
      </w:r>
    </w:p>
    <w:p w14:paraId="7087ABA4" w14:textId="77777777" w:rsidR="00E51CDA" w:rsidRDefault="00E51CDA" w:rsidP="001D25C1">
      <w:pPr>
        <w:spacing w:after="0" w:line="480" w:lineRule="auto"/>
        <w:rPr>
          <w:rFonts w:ascii="Arial" w:hAnsi="Arial" w:cs="Arial"/>
          <w:b/>
          <w:bCs/>
        </w:rPr>
      </w:pPr>
      <w:r>
        <w:rPr>
          <w:rFonts w:ascii="Arial" w:hAnsi="Arial" w:cs="Arial"/>
          <w:b/>
          <w:bCs/>
        </w:rPr>
        <w:lastRenderedPageBreak/>
        <w:t>Introduction</w:t>
      </w:r>
    </w:p>
    <w:p w14:paraId="2D782F86" w14:textId="4F572C64" w:rsidR="00E8369F" w:rsidRPr="001D25C1" w:rsidRDefault="00E51CDA" w:rsidP="001D25C1">
      <w:pPr>
        <w:spacing w:after="0" w:line="480" w:lineRule="auto"/>
        <w:rPr>
          <w:rFonts w:ascii="Arial" w:hAnsi="Arial" w:cs="Arial"/>
        </w:rPr>
      </w:pPr>
      <w:r>
        <w:rPr>
          <w:rFonts w:ascii="Arial" w:hAnsi="Arial" w:cs="Arial"/>
          <w:b/>
          <w:bCs/>
        </w:rPr>
        <w:tab/>
      </w:r>
      <w:r>
        <w:rPr>
          <w:rFonts w:ascii="Arial" w:hAnsi="Arial" w:cs="Arial"/>
        </w:rPr>
        <w:t xml:space="preserve">Suicide is a leading public health </w:t>
      </w:r>
      <w:r w:rsidR="000C2E1F">
        <w:rPr>
          <w:rFonts w:ascii="Arial" w:hAnsi="Arial" w:cs="Arial"/>
        </w:rPr>
        <w:t xml:space="preserve">crisis </w:t>
      </w:r>
      <w:r>
        <w:rPr>
          <w:rFonts w:ascii="Arial" w:hAnsi="Arial" w:cs="Arial"/>
        </w:rPr>
        <w:t xml:space="preserve">and clinical challenge, with more than 700,000 suicide deaths annually </w:t>
      </w:r>
      <w:r w:rsidRPr="00EF1B1C">
        <w:rPr>
          <w:rFonts w:ascii="Arial" w:hAnsi="Arial" w:cs="Arial"/>
        </w:rPr>
        <w:t>worldwid</w:t>
      </w:r>
      <w:r w:rsidR="00433B87">
        <w:rPr>
          <w:rFonts w:ascii="Arial" w:hAnsi="Arial" w:cs="Arial"/>
        </w:rPr>
        <w:t>e (W</w:t>
      </w:r>
      <w:r w:rsidR="000C2E1F">
        <w:rPr>
          <w:rFonts w:ascii="Arial" w:hAnsi="Arial" w:cs="Arial"/>
        </w:rPr>
        <w:t>orld Health Organization</w:t>
      </w:r>
      <w:r w:rsidR="00433B87">
        <w:rPr>
          <w:rFonts w:ascii="Arial" w:hAnsi="Arial" w:cs="Arial"/>
        </w:rPr>
        <w:t>, 2024)</w:t>
      </w:r>
      <w:r>
        <w:rPr>
          <w:rFonts w:ascii="Arial" w:hAnsi="Arial" w:cs="Arial"/>
        </w:rPr>
        <w:t xml:space="preserve">. </w:t>
      </w:r>
      <w:r w:rsidRPr="00EF1B1C">
        <w:rPr>
          <w:rFonts w:ascii="Arial" w:hAnsi="Arial" w:cs="Arial"/>
        </w:rPr>
        <w:t>U</w:t>
      </w:r>
      <w:r>
        <w:rPr>
          <w:rFonts w:ascii="Arial" w:hAnsi="Arial" w:cs="Arial"/>
        </w:rPr>
        <w:t>.S. suicide rates have increased by more than a third over the past two and a half decade</w:t>
      </w:r>
      <w:r w:rsidR="00433B87">
        <w:rPr>
          <w:rFonts w:ascii="Arial" w:hAnsi="Arial" w:cs="Arial"/>
        </w:rPr>
        <w:t>s (U.S. Centers for Disease Control and Prevention, 2023)</w:t>
      </w:r>
      <w:r>
        <w:rPr>
          <w:rFonts w:ascii="Arial" w:hAnsi="Arial" w:cs="Arial"/>
        </w:rPr>
        <w:t xml:space="preserve"> with almost 50,000 U.S. suicide deaths</w:t>
      </w:r>
      <w:r w:rsidR="005E071D">
        <w:rPr>
          <w:rFonts w:ascii="Arial" w:hAnsi="Arial" w:cs="Arial"/>
        </w:rPr>
        <w:t xml:space="preserve">, </w:t>
      </w:r>
      <w:r w:rsidR="00765B58">
        <w:rPr>
          <w:rFonts w:ascii="Arial" w:hAnsi="Arial" w:cs="Arial"/>
        </w:rPr>
        <w:t>over</w:t>
      </w:r>
      <w:r w:rsidR="005E071D">
        <w:rPr>
          <w:rFonts w:ascii="Arial" w:hAnsi="Arial" w:cs="Arial"/>
        </w:rPr>
        <w:t xml:space="preserve"> </w:t>
      </w:r>
      <w:r w:rsidR="00BD79A4">
        <w:rPr>
          <w:rFonts w:ascii="Arial" w:hAnsi="Arial" w:cs="Arial"/>
        </w:rPr>
        <w:t xml:space="preserve">two </w:t>
      </w:r>
      <w:r w:rsidR="005E071D">
        <w:rPr>
          <w:rFonts w:ascii="Arial" w:hAnsi="Arial" w:cs="Arial"/>
        </w:rPr>
        <w:t>million suicide attempts,</w:t>
      </w:r>
      <w:r>
        <w:rPr>
          <w:rFonts w:ascii="Arial" w:hAnsi="Arial" w:cs="Arial"/>
        </w:rPr>
        <w:t xml:space="preserve"> and more than </w:t>
      </w:r>
      <w:r w:rsidR="00BD79A4">
        <w:rPr>
          <w:rFonts w:ascii="Arial" w:hAnsi="Arial" w:cs="Arial"/>
        </w:rPr>
        <w:t xml:space="preserve">16 </w:t>
      </w:r>
      <w:r>
        <w:rPr>
          <w:rFonts w:ascii="Arial" w:hAnsi="Arial" w:cs="Arial"/>
        </w:rPr>
        <w:t>million adults and teens with serious thoughts of suicide in 202</w:t>
      </w:r>
      <w:r w:rsidR="00433B87">
        <w:rPr>
          <w:rFonts w:ascii="Arial" w:hAnsi="Arial" w:cs="Arial"/>
        </w:rPr>
        <w:t>3 (</w:t>
      </w:r>
      <w:r w:rsidR="00975F64">
        <w:rPr>
          <w:rFonts w:ascii="Arial" w:hAnsi="Arial" w:cs="Arial"/>
        </w:rPr>
        <w:t xml:space="preserve">Suicide Prevention Resource Center, 2026; </w:t>
      </w:r>
      <w:r w:rsidR="00433B87">
        <w:rPr>
          <w:rFonts w:ascii="Arial" w:hAnsi="Arial" w:cs="Arial"/>
        </w:rPr>
        <w:t>U.S. Centers for Disease Control and Prevention, 2024)</w:t>
      </w:r>
      <w:r>
        <w:rPr>
          <w:rFonts w:ascii="Arial" w:hAnsi="Arial" w:cs="Arial"/>
        </w:rPr>
        <w:t>. While</w:t>
      </w:r>
      <w:r w:rsidR="006343B0">
        <w:rPr>
          <w:rFonts w:ascii="Arial" w:hAnsi="Arial" w:cs="Arial"/>
        </w:rPr>
        <w:t xml:space="preserve"> elevated</w:t>
      </w:r>
      <w:r>
        <w:rPr>
          <w:rFonts w:ascii="Arial" w:hAnsi="Arial" w:cs="Arial"/>
        </w:rPr>
        <w:t xml:space="preserve"> suicide risk is the most common reason for </w:t>
      </w:r>
      <w:r w:rsidR="005E071D">
        <w:rPr>
          <w:rFonts w:ascii="Arial" w:hAnsi="Arial" w:cs="Arial"/>
        </w:rPr>
        <w:t xml:space="preserve">impatient </w:t>
      </w:r>
      <w:r>
        <w:rPr>
          <w:rFonts w:ascii="Arial" w:hAnsi="Arial" w:cs="Arial"/>
        </w:rPr>
        <w:t>admissio</w:t>
      </w:r>
      <w:r w:rsidR="00433B87">
        <w:rPr>
          <w:rFonts w:ascii="Arial" w:hAnsi="Arial" w:cs="Arial"/>
        </w:rPr>
        <w:t>n (Chung et al., 2017)</w:t>
      </w:r>
      <w:r>
        <w:rPr>
          <w:rFonts w:ascii="Arial" w:hAnsi="Arial" w:cs="Arial"/>
        </w:rPr>
        <w:t>, post-discharge suicide risk remains</w:t>
      </w:r>
      <w:r w:rsidR="001D25C1">
        <w:rPr>
          <w:rFonts w:ascii="Arial" w:hAnsi="Arial" w:cs="Arial"/>
        </w:rPr>
        <w:t xml:space="preserve"> appreciably</w:t>
      </w:r>
      <w:r>
        <w:rPr>
          <w:rFonts w:ascii="Arial" w:hAnsi="Arial" w:cs="Arial"/>
        </w:rPr>
        <w:t xml:space="preserve"> elevated for up to a year after inpatient care</w:t>
      </w:r>
      <w:r w:rsidR="005E071D">
        <w:rPr>
          <w:rFonts w:ascii="Arial" w:hAnsi="Arial" w:cs="Arial"/>
        </w:rPr>
        <w:t xml:space="preserve">, </w:t>
      </w:r>
      <w:r w:rsidR="00BD79A4">
        <w:rPr>
          <w:rFonts w:ascii="Arial" w:hAnsi="Arial" w:cs="Arial"/>
        </w:rPr>
        <w:t>peaking at</w:t>
      </w:r>
      <w:r w:rsidR="005E071D" w:rsidRPr="005E071D">
        <w:rPr>
          <w:rFonts w:ascii="Arial" w:hAnsi="Arial" w:cs="Arial"/>
        </w:rPr>
        <w:t xml:space="preserve"> 200–300 times the </w:t>
      </w:r>
      <w:r w:rsidR="00BD79A4">
        <w:rPr>
          <w:rFonts w:ascii="Arial" w:hAnsi="Arial" w:cs="Arial"/>
        </w:rPr>
        <w:t xml:space="preserve">rate of the </w:t>
      </w:r>
      <w:r w:rsidR="005E071D" w:rsidRPr="005E071D">
        <w:rPr>
          <w:rFonts w:ascii="Arial" w:hAnsi="Arial" w:cs="Arial"/>
        </w:rPr>
        <w:t>general population in the first month</w:t>
      </w:r>
      <w:r w:rsidR="00BD79A4">
        <w:rPr>
          <w:rFonts w:ascii="Arial" w:hAnsi="Arial" w:cs="Arial"/>
        </w:rPr>
        <w:t xml:space="preserve"> </w:t>
      </w:r>
      <w:r w:rsidR="00433B87">
        <w:rPr>
          <w:rFonts w:ascii="Arial" w:hAnsi="Arial" w:cs="Arial"/>
        </w:rPr>
        <w:t>(Huisman et al., 2011; Qui</w:t>
      </w:r>
      <w:r w:rsidR="00A26BA0">
        <w:rPr>
          <w:rFonts w:ascii="Arial" w:hAnsi="Arial" w:cs="Arial"/>
        </w:rPr>
        <w:t>n</w:t>
      </w:r>
      <w:r w:rsidR="00433B87">
        <w:rPr>
          <w:rFonts w:ascii="Arial" w:hAnsi="Arial" w:cs="Arial"/>
        </w:rPr>
        <w:t>nett, 2019)</w:t>
      </w:r>
      <w:r w:rsidR="001D25C1">
        <w:rPr>
          <w:rFonts w:ascii="Arial" w:hAnsi="Arial" w:cs="Arial"/>
        </w:rPr>
        <w:t>.</w:t>
      </w:r>
    </w:p>
    <w:p w14:paraId="22A3F9BC" w14:textId="13475EA4" w:rsidR="00687B75" w:rsidRDefault="00B029A0" w:rsidP="00E8369F">
      <w:pPr>
        <w:spacing w:line="480" w:lineRule="auto"/>
        <w:ind w:firstLine="720"/>
        <w:rPr>
          <w:rFonts w:ascii="Arial" w:hAnsi="Arial" w:cs="Arial"/>
        </w:rPr>
      </w:pPr>
      <w:r>
        <w:rPr>
          <w:rFonts w:ascii="Arial" w:hAnsi="Arial" w:cs="Arial"/>
        </w:rPr>
        <w:t>A</w:t>
      </w:r>
      <w:r w:rsidR="001D25C1">
        <w:rPr>
          <w:rFonts w:ascii="Arial" w:hAnsi="Arial" w:cs="Arial"/>
        </w:rPr>
        <w:t>ccording to</w:t>
      </w:r>
      <w:r>
        <w:rPr>
          <w:rFonts w:ascii="Arial" w:hAnsi="Arial" w:cs="Arial"/>
        </w:rPr>
        <w:t xml:space="preserve"> the National Action Alliance for Suicide Prevention (2025)</w:t>
      </w:r>
      <w:r w:rsidR="00433B87">
        <w:rPr>
          <w:rFonts w:ascii="Arial" w:hAnsi="Arial" w:cs="Arial"/>
        </w:rPr>
        <w:t>,</w:t>
      </w:r>
      <w:r>
        <w:rPr>
          <w:rFonts w:ascii="Arial" w:hAnsi="Arial" w:cs="Arial"/>
        </w:rPr>
        <w:t xml:space="preserve"> “inpatient </w:t>
      </w:r>
      <w:r w:rsidRPr="00CF16B6">
        <w:rPr>
          <w:rFonts w:ascii="Arial" w:hAnsi="Arial" w:cs="Arial"/>
        </w:rPr>
        <w:t>psychiatric care is designed to mitigate immediate risk, begin treatment, and prepare individuals for continuing care after hospitalization</w:t>
      </w:r>
      <w:r w:rsidR="00332FE4">
        <w:rPr>
          <w:rFonts w:ascii="Arial" w:hAnsi="Arial" w:cs="Arial"/>
        </w:rPr>
        <w:t>” (p. 2)</w:t>
      </w:r>
      <w:r w:rsidR="00EF725A">
        <w:rPr>
          <w:rFonts w:ascii="Arial" w:hAnsi="Arial" w:cs="Arial"/>
        </w:rPr>
        <w:t xml:space="preserve">. </w:t>
      </w:r>
      <w:r w:rsidR="00B779BD">
        <w:rPr>
          <w:rFonts w:ascii="Arial" w:hAnsi="Arial" w:cs="Arial"/>
        </w:rPr>
        <w:t xml:space="preserve">Despite clarity in the </w:t>
      </w:r>
      <w:r w:rsidR="001D25C1">
        <w:rPr>
          <w:rFonts w:ascii="Arial" w:hAnsi="Arial" w:cs="Arial"/>
        </w:rPr>
        <w:t xml:space="preserve">stated </w:t>
      </w:r>
      <w:r w:rsidR="00B779BD">
        <w:rPr>
          <w:rFonts w:ascii="Arial" w:hAnsi="Arial" w:cs="Arial"/>
        </w:rPr>
        <w:t>function and purpose of inpatient care, o</w:t>
      </w:r>
      <w:r w:rsidR="00EF725A">
        <w:rPr>
          <w:rFonts w:ascii="Arial" w:hAnsi="Arial" w:cs="Arial"/>
        </w:rPr>
        <w:t>ne likely factor in the persistence of suicide risk post-discharge is the limited use of evidence-based therapies (EBTs)</w:t>
      </w:r>
      <w:r w:rsidR="00A26BA0">
        <w:rPr>
          <w:rFonts w:ascii="Arial" w:hAnsi="Arial" w:cs="Arial"/>
        </w:rPr>
        <w:t xml:space="preserve"> as</w:t>
      </w:r>
      <w:r w:rsidR="00EF725A">
        <w:rPr>
          <w:rFonts w:ascii="Arial" w:hAnsi="Arial" w:cs="Arial"/>
        </w:rPr>
        <w:t xml:space="preserve"> recommended by the Joint Commission’s National Patient Safety Goals for Suicide Prevention</w:t>
      </w:r>
      <w:r w:rsidR="00A26BA0">
        <w:rPr>
          <w:rFonts w:ascii="Arial" w:hAnsi="Arial" w:cs="Arial"/>
        </w:rPr>
        <w:t xml:space="preserve"> (2026)</w:t>
      </w:r>
      <w:r w:rsidR="00EF725A">
        <w:rPr>
          <w:rFonts w:ascii="Arial" w:hAnsi="Arial" w:cs="Arial"/>
          <w:vertAlign w:val="superscript"/>
        </w:rPr>
        <w:t xml:space="preserve"> </w:t>
      </w:r>
      <w:r w:rsidR="00EF725A">
        <w:rPr>
          <w:rFonts w:ascii="Arial" w:hAnsi="Arial" w:cs="Arial"/>
        </w:rPr>
        <w:t>(</w:t>
      </w:r>
      <w:r w:rsidR="00E8369F">
        <w:rPr>
          <w:rFonts w:ascii="Arial" w:hAnsi="Arial" w:cs="Arial"/>
        </w:rPr>
        <w:t>Hawes et al., 2025</w:t>
      </w:r>
      <w:r w:rsidR="00EF725A">
        <w:rPr>
          <w:rFonts w:ascii="Arial" w:hAnsi="Arial" w:cs="Arial"/>
        </w:rPr>
        <w:t>).</w:t>
      </w:r>
      <w:r w:rsidR="00C03A7B">
        <w:rPr>
          <w:rFonts w:ascii="Arial" w:hAnsi="Arial" w:cs="Arial"/>
        </w:rPr>
        <w:t xml:space="preserve"> </w:t>
      </w:r>
      <w:r w:rsidR="00E51CDA">
        <w:rPr>
          <w:rFonts w:ascii="Arial" w:hAnsi="Arial" w:cs="Arial"/>
        </w:rPr>
        <w:t xml:space="preserve">Given the </w:t>
      </w:r>
      <w:r w:rsidR="00B00060">
        <w:rPr>
          <w:rFonts w:ascii="Arial" w:hAnsi="Arial" w:cs="Arial"/>
        </w:rPr>
        <w:t xml:space="preserve">critical role </w:t>
      </w:r>
      <w:r w:rsidR="00BD79A4">
        <w:rPr>
          <w:rFonts w:ascii="Arial" w:hAnsi="Arial" w:cs="Arial"/>
        </w:rPr>
        <w:t>of</w:t>
      </w:r>
      <w:r w:rsidR="00B00060">
        <w:rPr>
          <w:rFonts w:ascii="Arial" w:hAnsi="Arial" w:cs="Arial"/>
        </w:rPr>
        <w:t xml:space="preserve"> </w:t>
      </w:r>
      <w:r w:rsidR="00B779BD">
        <w:rPr>
          <w:rFonts w:ascii="Arial" w:hAnsi="Arial" w:cs="Arial"/>
        </w:rPr>
        <w:t>hospitalization in the healthcare continuum</w:t>
      </w:r>
      <w:r w:rsidR="00A26BA0">
        <w:rPr>
          <w:rFonts w:ascii="Arial" w:hAnsi="Arial" w:cs="Arial"/>
        </w:rPr>
        <w:t xml:space="preserve"> for suicide prevention</w:t>
      </w:r>
      <w:r w:rsidR="00C03A7B">
        <w:rPr>
          <w:rFonts w:ascii="Arial" w:hAnsi="Arial" w:cs="Arial"/>
        </w:rPr>
        <w:t xml:space="preserve">, an average length of stay in the U.S of only 3-7 days (Chammas et al., 2022), and </w:t>
      </w:r>
      <w:r w:rsidR="00332FE4">
        <w:rPr>
          <w:rFonts w:ascii="Arial" w:hAnsi="Arial" w:cs="Arial"/>
        </w:rPr>
        <w:t xml:space="preserve">the </w:t>
      </w:r>
      <w:r w:rsidR="00DE00EF">
        <w:rPr>
          <w:rFonts w:ascii="Arial" w:hAnsi="Arial" w:cs="Arial"/>
        </w:rPr>
        <w:t>observed high rates of post-discharge</w:t>
      </w:r>
      <w:r w:rsidR="00C03A7B">
        <w:rPr>
          <w:rFonts w:ascii="Arial" w:hAnsi="Arial" w:cs="Arial"/>
        </w:rPr>
        <w:t xml:space="preserve"> suicide risk,</w:t>
      </w:r>
      <w:r w:rsidR="00B00060">
        <w:rPr>
          <w:rFonts w:ascii="Arial" w:hAnsi="Arial" w:cs="Arial"/>
        </w:rPr>
        <w:t xml:space="preserve"> </w:t>
      </w:r>
      <w:r w:rsidR="00E51CDA">
        <w:rPr>
          <w:rFonts w:ascii="Arial" w:hAnsi="Arial" w:cs="Arial"/>
        </w:rPr>
        <w:t xml:space="preserve">questions persist </w:t>
      </w:r>
      <w:r w:rsidR="00C51192">
        <w:rPr>
          <w:rFonts w:ascii="Arial" w:hAnsi="Arial" w:cs="Arial"/>
        </w:rPr>
        <w:t>regarding</w:t>
      </w:r>
      <w:r w:rsidR="009A7F13">
        <w:rPr>
          <w:rFonts w:ascii="Arial" w:hAnsi="Arial" w:cs="Arial"/>
        </w:rPr>
        <w:t xml:space="preserve"> the effectiveness o</w:t>
      </w:r>
      <w:r w:rsidR="00A26BA0">
        <w:rPr>
          <w:rFonts w:ascii="Arial" w:hAnsi="Arial" w:cs="Arial"/>
        </w:rPr>
        <w:t xml:space="preserve">f inpatient </w:t>
      </w:r>
      <w:r w:rsidR="00DE00EF">
        <w:rPr>
          <w:rFonts w:ascii="Arial" w:hAnsi="Arial" w:cs="Arial"/>
        </w:rPr>
        <w:t xml:space="preserve">suicide prevention </w:t>
      </w:r>
      <w:r w:rsidR="00A26BA0">
        <w:rPr>
          <w:rFonts w:ascii="Arial" w:hAnsi="Arial" w:cs="Arial"/>
        </w:rPr>
        <w:t xml:space="preserve">care. </w:t>
      </w:r>
      <w:r w:rsidR="00CB6179">
        <w:rPr>
          <w:rFonts w:ascii="Arial" w:hAnsi="Arial" w:cs="Arial"/>
        </w:rPr>
        <w:t>T</w:t>
      </w:r>
      <w:r w:rsidR="00A26BA0">
        <w:rPr>
          <w:rFonts w:ascii="Arial" w:hAnsi="Arial" w:cs="Arial"/>
        </w:rPr>
        <w:t xml:space="preserve">he most common questions </w:t>
      </w:r>
      <w:r w:rsidR="00CB6179">
        <w:rPr>
          <w:rFonts w:ascii="Arial" w:hAnsi="Arial" w:cs="Arial"/>
        </w:rPr>
        <w:t xml:space="preserve">revolve around </w:t>
      </w:r>
      <w:r w:rsidR="00DE00EF">
        <w:rPr>
          <w:rFonts w:ascii="Arial" w:hAnsi="Arial" w:cs="Arial"/>
        </w:rPr>
        <w:t>how best to tailor treatments</w:t>
      </w:r>
      <w:r w:rsidR="00E51CDA">
        <w:rPr>
          <w:rFonts w:ascii="Arial" w:hAnsi="Arial" w:cs="Arial"/>
        </w:rPr>
        <w:t xml:space="preserve"> to maximize</w:t>
      </w:r>
      <w:r w:rsidR="009A7F13">
        <w:rPr>
          <w:rFonts w:ascii="Arial" w:hAnsi="Arial" w:cs="Arial"/>
        </w:rPr>
        <w:t xml:space="preserve"> the</w:t>
      </w:r>
      <w:r w:rsidR="00BD79A4">
        <w:rPr>
          <w:rFonts w:ascii="Arial" w:hAnsi="Arial" w:cs="Arial"/>
        </w:rPr>
        <w:t xml:space="preserve"> </w:t>
      </w:r>
      <w:r w:rsidR="00BD79A4">
        <w:rPr>
          <w:rFonts w:ascii="Arial" w:hAnsi="Arial" w:cs="Arial"/>
        </w:rPr>
        <w:lastRenderedPageBreak/>
        <w:t xml:space="preserve">impact of </w:t>
      </w:r>
      <w:r w:rsidR="009A7F13">
        <w:rPr>
          <w:rFonts w:ascii="Arial" w:hAnsi="Arial" w:cs="Arial"/>
        </w:rPr>
        <w:t>brief</w:t>
      </w:r>
      <w:r w:rsidR="00E51CDA">
        <w:rPr>
          <w:rFonts w:ascii="Arial" w:hAnsi="Arial" w:cs="Arial"/>
        </w:rPr>
        <w:t xml:space="preserve"> inpatient suicide prevention</w:t>
      </w:r>
      <w:r w:rsidR="00617CCA">
        <w:rPr>
          <w:rFonts w:ascii="Arial" w:hAnsi="Arial" w:cs="Arial"/>
        </w:rPr>
        <w:t xml:space="preserve"> care</w:t>
      </w:r>
      <w:r w:rsidR="00C03A7B">
        <w:rPr>
          <w:rFonts w:ascii="Arial" w:hAnsi="Arial" w:cs="Arial"/>
        </w:rPr>
        <w:t xml:space="preserve"> and </w:t>
      </w:r>
      <w:r w:rsidR="00E51CDA" w:rsidRPr="00AE2F13">
        <w:rPr>
          <w:rFonts w:ascii="Arial" w:hAnsi="Arial" w:cs="Arial"/>
        </w:rPr>
        <w:t>how best</w:t>
      </w:r>
      <w:r w:rsidR="00DE00EF">
        <w:rPr>
          <w:rFonts w:ascii="Arial" w:hAnsi="Arial" w:cs="Arial"/>
        </w:rPr>
        <w:t xml:space="preserve"> to</w:t>
      </w:r>
      <w:r w:rsidR="00E51CDA" w:rsidRPr="00AE2F13">
        <w:rPr>
          <w:rFonts w:ascii="Arial" w:hAnsi="Arial" w:cs="Arial"/>
        </w:rPr>
        <w:t xml:space="preserve"> capture whether clinically meaningful change occurred</w:t>
      </w:r>
      <w:r w:rsidR="003A3E22">
        <w:rPr>
          <w:rFonts w:ascii="Arial" w:hAnsi="Arial" w:cs="Arial"/>
        </w:rPr>
        <w:t xml:space="preserve"> </w:t>
      </w:r>
      <w:r w:rsidR="00FF05E4">
        <w:rPr>
          <w:rFonts w:ascii="Arial" w:hAnsi="Arial" w:cs="Arial"/>
        </w:rPr>
        <w:t>secondary to</w:t>
      </w:r>
      <w:r w:rsidR="00E76B7F">
        <w:rPr>
          <w:rFonts w:ascii="Arial" w:hAnsi="Arial" w:cs="Arial"/>
        </w:rPr>
        <w:t xml:space="preserve"> treatment </w:t>
      </w:r>
      <w:r w:rsidR="003A3E22">
        <w:rPr>
          <w:rFonts w:ascii="Arial" w:hAnsi="Arial" w:cs="Arial"/>
        </w:rPr>
        <w:t>(</w:t>
      </w:r>
      <w:r w:rsidR="00040E72">
        <w:rPr>
          <w:rFonts w:ascii="Arial" w:hAnsi="Arial" w:cs="Arial"/>
        </w:rPr>
        <w:t xml:space="preserve">Hawes et al., 2025; </w:t>
      </w:r>
      <w:r w:rsidR="003A3E22">
        <w:rPr>
          <w:rFonts w:ascii="Arial" w:hAnsi="Arial" w:cs="Arial"/>
        </w:rPr>
        <w:t>Olfso</w:t>
      </w:r>
      <w:r w:rsidR="00040E72">
        <w:rPr>
          <w:rFonts w:ascii="Arial" w:hAnsi="Arial" w:cs="Arial"/>
        </w:rPr>
        <w:t>n</w:t>
      </w:r>
      <w:r w:rsidR="003A3E22">
        <w:rPr>
          <w:rFonts w:ascii="Arial" w:hAnsi="Arial" w:cs="Arial"/>
        </w:rPr>
        <w:t xml:space="preserve"> et al., 2016</w:t>
      </w:r>
      <w:r w:rsidR="00FA7321">
        <w:rPr>
          <w:rFonts w:ascii="Arial" w:hAnsi="Arial" w:cs="Arial"/>
        </w:rPr>
        <w:t xml:space="preserve">; </w:t>
      </w:r>
      <w:r w:rsidR="00FA7321" w:rsidRPr="00FA7321">
        <w:rPr>
          <w:rFonts w:ascii="Arial" w:hAnsi="Arial" w:cs="Arial"/>
        </w:rPr>
        <w:t>Ward Ciesielski &amp; Rizvi, 2021</w:t>
      </w:r>
      <w:r w:rsidR="003A3E22">
        <w:rPr>
          <w:rFonts w:ascii="Arial" w:hAnsi="Arial" w:cs="Arial"/>
        </w:rPr>
        <w:t>)</w:t>
      </w:r>
      <w:r w:rsidR="00C03A7B">
        <w:rPr>
          <w:rFonts w:ascii="Arial" w:hAnsi="Arial" w:cs="Arial"/>
        </w:rPr>
        <w:t xml:space="preserve">. </w:t>
      </w:r>
      <w:r w:rsidR="00E51CDA" w:rsidRPr="002F788C">
        <w:rPr>
          <w:rFonts w:ascii="Arial" w:hAnsi="Arial" w:cs="Arial"/>
        </w:rPr>
        <w:t xml:space="preserve"> </w:t>
      </w:r>
    </w:p>
    <w:p w14:paraId="2225AE79" w14:textId="262C679C" w:rsidR="00E51CDA" w:rsidRDefault="00E51CDA" w:rsidP="00E51CDA">
      <w:pPr>
        <w:spacing w:line="480" w:lineRule="auto"/>
        <w:rPr>
          <w:rFonts w:ascii="Arial" w:hAnsi="Arial" w:cs="Arial"/>
        </w:rPr>
      </w:pPr>
      <w:r>
        <w:rPr>
          <w:rFonts w:ascii="Arial" w:hAnsi="Arial" w:cs="Arial"/>
        </w:rPr>
        <w:tab/>
      </w:r>
      <w:r w:rsidR="00691504">
        <w:rPr>
          <w:rFonts w:ascii="Arial" w:hAnsi="Arial" w:cs="Arial"/>
        </w:rPr>
        <w:t>Although o</w:t>
      </w:r>
      <w:r w:rsidR="00691504" w:rsidRPr="00691504">
        <w:rPr>
          <w:rFonts w:ascii="Arial" w:hAnsi="Arial" w:cs="Arial"/>
        </w:rPr>
        <w:t>utpatient</w:t>
      </w:r>
      <w:r w:rsidR="00691504">
        <w:rPr>
          <w:rFonts w:ascii="Arial" w:hAnsi="Arial" w:cs="Arial"/>
        </w:rPr>
        <w:t xml:space="preserve"> </w:t>
      </w:r>
      <w:r w:rsidR="00691504" w:rsidRPr="00691504">
        <w:rPr>
          <w:rFonts w:ascii="Arial" w:hAnsi="Arial" w:cs="Arial"/>
        </w:rPr>
        <w:t>psychosocial</w:t>
      </w:r>
      <w:r w:rsidR="00691504">
        <w:rPr>
          <w:rFonts w:ascii="Arial" w:hAnsi="Arial" w:cs="Arial"/>
        </w:rPr>
        <w:t xml:space="preserve"> </w:t>
      </w:r>
      <w:r w:rsidR="00691504" w:rsidRPr="00691504">
        <w:rPr>
          <w:rFonts w:ascii="Arial" w:hAnsi="Arial" w:cs="Arial"/>
        </w:rPr>
        <w:t>interventions</w:t>
      </w:r>
      <w:r w:rsidR="00691504">
        <w:rPr>
          <w:rFonts w:ascii="Arial" w:hAnsi="Arial" w:cs="Arial"/>
        </w:rPr>
        <w:t xml:space="preserve"> have been demonstrated </w:t>
      </w:r>
      <w:r w:rsidR="006D1AF2">
        <w:rPr>
          <w:rFonts w:ascii="Arial" w:hAnsi="Arial" w:cs="Arial"/>
        </w:rPr>
        <w:t xml:space="preserve">effective </w:t>
      </w:r>
      <w:r w:rsidR="00691504" w:rsidRPr="00691504">
        <w:rPr>
          <w:rFonts w:ascii="Arial" w:hAnsi="Arial" w:cs="Arial"/>
        </w:rPr>
        <w:t>for suicide prevention</w:t>
      </w:r>
      <w:r w:rsidR="00117C4F">
        <w:rPr>
          <w:rFonts w:ascii="Arial" w:hAnsi="Arial" w:cs="Arial"/>
        </w:rPr>
        <w:t xml:space="preserve"> </w:t>
      </w:r>
      <w:r w:rsidR="006D1AF2">
        <w:rPr>
          <w:rFonts w:ascii="Arial" w:hAnsi="Arial" w:cs="Arial"/>
        </w:rPr>
        <w:t>(</w:t>
      </w:r>
      <w:r w:rsidR="006D1AF2" w:rsidRPr="006D1AF2">
        <w:rPr>
          <w:rFonts w:ascii="Arial" w:hAnsi="Arial" w:cs="Arial"/>
        </w:rPr>
        <w:t xml:space="preserve">Sufrate-Sorzano </w:t>
      </w:r>
      <w:r w:rsidR="006D1AF2">
        <w:rPr>
          <w:rFonts w:ascii="Arial" w:hAnsi="Arial" w:cs="Arial"/>
        </w:rPr>
        <w:t>et al., 2023</w:t>
      </w:r>
      <w:r w:rsidR="00C23EA1">
        <w:rPr>
          <w:rFonts w:ascii="Arial" w:hAnsi="Arial" w:cs="Arial"/>
        </w:rPr>
        <w:t>; Wu et al., 2022</w:t>
      </w:r>
      <w:r w:rsidR="006D1AF2">
        <w:rPr>
          <w:rFonts w:ascii="Arial" w:hAnsi="Arial" w:cs="Arial"/>
        </w:rPr>
        <w:t xml:space="preserve">), </w:t>
      </w:r>
      <w:r w:rsidR="00691504" w:rsidRPr="00691504">
        <w:rPr>
          <w:rFonts w:ascii="Arial" w:hAnsi="Arial" w:cs="Arial"/>
        </w:rPr>
        <w:t xml:space="preserve">with </w:t>
      </w:r>
      <w:r w:rsidR="006D1AF2">
        <w:rPr>
          <w:rFonts w:ascii="Arial" w:hAnsi="Arial" w:cs="Arial"/>
        </w:rPr>
        <w:t xml:space="preserve">consistently </w:t>
      </w:r>
      <w:r w:rsidR="00691504" w:rsidRPr="00691504">
        <w:rPr>
          <w:rFonts w:ascii="Arial" w:hAnsi="Arial" w:cs="Arial"/>
        </w:rPr>
        <w:t>larger effect</w:t>
      </w:r>
      <w:r w:rsidR="006D1AF2">
        <w:rPr>
          <w:rFonts w:ascii="Arial" w:hAnsi="Arial" w:cs="Arial"/>
        </w:rPr>
        <w:t xml:space="preserve"> sizes</w:t>
      </w:r>
      <w:r w:rsidR="00691504" w:rsidRPr="00691504">
        <w:rPr>
          <w:rFonts w:ascii="Arial" w:hAnsi="Arial" w:cs="Arial"/>
        </w:rPr>
        <w:t xml:space="preserve"> for suicide specific treatments</w:t>
      </w:r>
      <w:r w:rsidR="006D1AF2">
        <w:rPr>
          <w:rFonts w:ascii="Arial" w:hAnsi="Arial" w:cs="Arial"/>
        </w:rPr>
        <w:t xml:space="preserve"> (</w:t>
      </w:r>
      <w:r w:rsidR="006D1AF2" w:rsidRPr="00046DE7">
        <w:t>Meerwijk</w:t>
      </w:r>
      <w:r w:rsidR="006D1AF2">
        <w:t xml:space="preserve"> et al., 2016</w:t>
      </w:r>
      <w:r w:rsidR="00617CCA">
        <w:t xml:space="preserve">; </w:t>
      </w:r>
      <w:r w:rsidR="00617CCA" w:rsidRPr="009A048D">
        <w:rPr>
          <w:rFonts w:ascii="Arial" w:hAnsi="Arial" w:cs="Arial"/>
        </w:rPr>
        <w:t>van Ballegooijen et al., 2025</w:t>
      </w:r>
      <w:r w:rsidR="006D1AF2">
        <w:t>)</w:t>
      </w:r>
      <w:r w:rsidR="006D1AF2">
        <w:rPr>
          <w:rFonts w:ascii="Arial" w:hAnsi="Arial" w:cs="Arial"/>
        </w:rPr>
        <w:t>,</w:t>
      </w:r>
      <w:r w:rsidR="00691504" w:rsidRPr="00691504">
        <w:rPr>
          <w:rFonts w:ascii="Arial" w:hAnsi="Arial" w:cs="Arial"/>
        </w:rPr>
        <w:t xml:space="preserve"> current evidence for inpatient </w:t>
      </w:r>
      <w:r w:rsidR="006D1AF2">
        <w:rPr>
          <w:rFonts w:ascii="Arial" w:hAnsi="Arial" w:cs="Arial"/>
        </w:rPr>
        <w:t>care targeting elevated suicide risk</w:t>
      </w:r>
      <w:r w:rsidR="00691504" w:rsidRPr="00691504">
        <w:rPr>
          <w:rFonts w:ascii="Arial" w:hAnsi="Arial" w:cs="Arial"/>
        </w:rPr>
        <w:t xml:space="preserve"> is</w:t>
      </w:r>
      <w:r w:rsidR="00C23EA1">
        <w:rPr>
          <w:rFonts w:ascii="Arial" w:hAnsi="Arial" w:cs="Arial"/>
        </w:rPr>
        <w:t xml:space="preserve"> remarkably</w:t>
      </w:r>
      <w:r w:rsidR="00691504" w:rsidRPr="00691504">
        <w:rPr>
          <w:rFonts w:ascii="Arial" w:hAnsi="Arial" w:cs="Arial"/>
        </w:rPr>
        <w:t xml:space="preserve"> limited</w:t>
      </w:r>
      <w:r w:rsidR="006D1AF2">
        <w:rPr>
          <w:rFonts w:ascii="Arial" w:hAnsi="Arial" w:cs="Arial"/>
        </w:rPr>
        <w:t xml:space="preserve"> (Yiu et al., 2021). </w:t>
      </w:r>
      <w:r>
        <w:rPr>
          <w:rFonts w:ascii="Arial" w:hAnsi="Arial" w:cs="Arial"/>
        </w:rPr>
        <w:t xml:space="preserve">A recent meta-analysis of randomized clinical trials </w:t>
      </w:r>
      <w:r w:rsidR="0017736D">
        <w:rPr>
          <w:rFonts w:ascii="Arial" w:hAnsi="Arial" w:cs="Arial"/>
        </w:rPr>
        <w:t xml:space="preserve">(RCTs) </w:t>
      </w:r>
      <w:r>
        <w:rPr>
          <w:rFonts w:ascii="Arial" w:hAnsi="Arial" w:cs="Arial"/>
        </w:rPr>
        <w:t xml:space="preserve">of psychotherapy for mental health problems that included outcome measures of suicidal ideation and suicide attempts found </w:t>
      </w:r>
      <w:r w:rsidR="00E76B7F">
        <w:rPr>
          <w:rFonts w:ascii="Arial" w:hAnsi="Arial" w:cs="Arial"/>
        </w:rPr>
        <w:t xml:space="preserve">that </w:t>
      </w:r>
      <w:r w:rsidR="00924EDE">
        <w:rPr>
          <w:rFonts w:ascii="Arial" w:hAnsi="Arial" w:cs="Arial"/>
        </w:rPr>
        <w:t xml:space="preserve">both </w:t>
      </w:r>
      <w:r>
        <w:rPr>
          <w:rFonts w:ascii="Arial" w:hAnsi="Arial" w:cs="Arial"/>
        </w:rPr>
        <w:t xml:space="preserve">direct and indirect psychotherapy conditions were associated with similar reductions and effect sizes for suicidal ideation </w:t>
      </w:r>
      <w:r w:rsidRPr="009A048D">
        <w:rPr>
          <w:rFonts w:ascii="Arial" w:hAnsi="Arial" w:cs="Arial"/>
        </w:rPr>
        <w:t>and attempts</w:t>
      </w:r>
      <w:r w:rsidR="00691504" w:rsidRPr="009A048D">
        <w:rPr>
          <w:rFonts w:ascii="Arial" w:hAnsi="Arial" w:cs="Arial"/>
        </w:rPr>
        <w:t xml:space="preserve"> (</w:t>
      </w:r>
      <w:r w:rsidR="009A048D" w:rsidRPr="009A048D">
        <w:rPr>
          <w:rFonts w:ascii="Arial" w:hAnsi="Arial" w:cs="Arial"/>
        </w:rPr>
        <w:t>van Ballegooijen et al., 2025</w:t>
      </w:r>
      <w:r w:rsidR="00691504" w:rsidRPr="009A048D">
        <w:rPr>
          <w:rFonts w:ascii="Arial" w:hAnsi="Arial" w:cs="Arial"/>
        </w:rPr>
        <w:t>)</w:t>
      </w:r>
      <w:r w:rsidRPr="009A048D">
        <w:rPr>
          <w:rFonts w:ascii="Arial" w:hAnsi="Arial" w:cs="Arial"/>
        </w:rPr>
        <w:t>.</w:t>
      </w:r>
      <w:r w:rsidRPr="00E4150A">
        <w:rPr>
          <w:rFonts w:ascii="Arial" w:hAnsi="Arial" w:cs="Arial"/>
        </w:rPr>
        <w:t xml:space="preserve"> Direct treatments included any suicide-specific intervention (e.g., safety planning), even if used in an isolated fashion, and did n</w:t>
      </w:r>
      <w:r>
        <w:rPr>
          <w:rFonts w:ascii="Arial" w:hAnsi="Arial" w:cs="Arial"/>
        </w:rPr>
        <w:t xml:space="preserve">ot require a comprehensive or integrated suicide-specific treatment approach. Among their conclusions, the authors emphasized that indirect treatments offer effective interventions for people unlikely to seek treatment specifically for suicidal ideation and related behaviors. </w:t>
      </w:r>
      <w:r w:rsidR="003A11EB">
        <w:rPr>
          <w:rFonts w:ascii="Arial" w:hAnsi="Arial" w:cs="Arial"/>
        </w:rPr>
        <w:t xml:space="preserve">However, the authors did not address the likelihood of </w:t>
      </w:r>
      <w:r w:rsidR="00B41A10">
        <w:rPr>
          <w:rFonts w:ascii="Arial" w:hAnsi="Arial" w:cs="Arial"/>
        </w:rPr>
        <w:t xml:space="preserve">pre-existing </w:t>
      </w:r>
      <w:r w:rsidR="003A11EB">
        <w:rPr>
          <w:rFonts w:ascii="Arial" w:hAnsi="Arial" w:cs="Arial"/>
        </w:rPr>
        <w:t xml:space="preserve">differences in severity of suicide risk among those referred for “direct” or suicide specific treatments. </w:t>
      </w:r>
      <w:r w:rsidR="00FD306D">
        <w:rPr>
          <w:rFonts w:ascii="Arial" w:hAnsi="Arial" w:cs="Arial"/>
        </w:rPr>
        <w:t>D</w:t>
      </w:r>
      <w:r>
        <w:rPr>
          <w:rFonts w:ascii="Arial" w:hAnsi="Arial" w:cs="Arial"/>
        </w:rPr>
        <w:t xml:space="preserve">ifferentiating suicide-specific treatments from indirect treatments </w:t>
      </w:r>
      <w:r w:rsidR="00A25263">
        <w:rPr>
          <w:rFonts w:ascii="Arial" w:hAnsi="Arial" w:cs="Arial"/>
        </w:rPr>
        <w:t>is</w:t>
      </w:r>
      <w:r>
        <w:rPr>
          <w:rFonts w:ascii="Arial" w:hAnsi="Arial" w:cs="Arial"/>
        </w:rPr>
        <w:t xml:space="preserve"> </w:t>
      </w:r>
      <w:r w:rsidR="00C23EA1">
        <w:rPr>
          <w:rFonts w:ascii="Arial" w:hAnsi="Arial" w:cs="Arial"/>
        </w:rPr>
        <w:t xml:space="preserve">essential </w:t>
      </w:r>
      <w:r>
        <w:rPr>
          <w:rFonts w:ascii="Arial" w:hAnsi="Arial" w:cs="Arial"/>
        </w:rPr>
        <w:t>to answering questions about treatment tailoring for</w:t>
      </w:r>
      <w:r w:rsidR="005779E7">
        <w:rPr>
          <w:rFonts w:ascii="Arial" w:hAnsi="Arial" w:cs="Arial"/>
        </w:rPr>
        <w:t xml:space="preserve"> both</w:t>
      </w:r>
      <w:r>
        <w:rPr>
          <w:rFonts w:ascii="Arial" w:hAnsi="Arial" w:cs="Arial"/>
        </w:rPr>
        <w:t xml:space="preserve"> inpatient </w:t>
      </w:r>
      <w:r w:rsidR="005779E7">
        <w:rPr>
          <w:rFonts w:ascii="Arial" w:hAnsi="Arial" w:cs="Arial"/>
        </w:rPr>
        <w:t xml:space="preserve">and outpatient </w:t>
      </w:r>
      <w:r>
        <w:rPr>
          <w:rFonts w:ascii="Arial" w:hAnsi="Arial" w:cs="Arial"/>
        </w:rPr>
        <w:t>settings</w:t>
      </w:r>
      <w:r w:rsidR="005779E7">
        <w:rPr>
          <w:rFonts w:ascii="Arial" w:hAnsi="Arial" w:cs="Arial"/>
        </w:rPr>
        <w:t>,</w:t>
      </w:r>
      <w:r>
        <w:rPr>
          <w:rFonts w:ascii="Arial" w:hAnsi="Arial" w:cs="Arial"/>
        </w:rPr>
        <w:t xml:space="preserve"> </w:t>
      </w:r>
      <w:r w:rsidR="005779E7">
        <w:rPr>
          <w:rFonts w:ascii="Arial" w:hAnsi="Arial" w:cs="Arial"/>
        </w:rPr>
        <w:t>along with</w:t>
      </w:r>
      <w:r>
        <w:rPr>
          <w:rFonts w:ascii="Arial" w:hAnsi="Arial" w:cs="Arial"/>
        </w:rPr>
        <w:t xml:space="preserve"> how best to capture effectiveness and determine clinically meaningful change when elevated suicide risk is</w:t>
      </w:r>
      <w:r w:rsidR="000B1B2F">
        <w:rPr>
          <w:rFonts w:ascii="Arial" w:hAnsi="Arial" w:cs="Arial"/>
        </w:rPr>
        <w:t xml:space="preserve"> both</w:t>
      </w:r>
      <w:r>
        <w:rPr>
          <w:rFonts w:ascii="Arial" w:hAnsi="Arial" w:cs="Arial"/>
        </w:rPr>
        <w:t xml:space="preserve"> the primary focus</w:t>
      </w:r>
      <w:r w:rsidR="005779E7">
        <w:rPr>
          <w:rFonts w:ascii="Arial" w:hAnsi="Arial" w:cs="Arial"/>
        </w:rPr>
        <w:t xml:space="preserve"> of treatment</w:t>
      </w:r>
      <w:r w:rsidR="000B1B2F">
        <w:rPr>
          <w:rFonts w:ascii="Arial" w:hAnsi="Arial" w:cs="Arial"/>
        </w:rPr>
        <w:t xml:space="preserve"> and</w:t>
      </w:r>
      <w:r>
        <w:rPr>
          <w:rFonts w:ascii="Arial" w:hAnsi="Arial" w:cs="Arial"/>
        </w:rPr>
        <w:t xml:space="preserve"> the reason for inpatient admission</w:t>
      </w:r>
      <w:r w:rsidR="00FD306D">
        <w:rPr>
          <w:rFonts w:ascii="Arial" w:hAnsi="Arial" w:cs="Arial"/>
        </w:rPr>
        <w:t xml:space="preserve"> or outpatient care</w:t>
      </w:r>
      <w:r w:rsidR="00C23EA1">
        <w:rPr>
          <w:rFonts w:ascii="Arial" w:hAnsi="Arial" w:cs="Arial"/>
        </w:rPr>
        <w:t>.</w:t>
      </w:r>
      <w:r>
        <w:rPr>
          <w:rFonts w:ascii="Arial" w:hAnsi="Arial" w:cs="Arial"/>
        </w:rPr>
        <w:t xml:space="preserve"> </w:t>
      </w:r>
    </w:p>
    <w:p w14:paraId="3908FADF" w14:textId="1A0CAFCF" w:rsidR="00855CA1" w:rsidRDefault="00C23EA1" w:rsidP="00E51CDA">
      <w:pPr>
        <w:spacing w:line="480" w:lineRule="auto"/>
        <w:ind w:firstLine="720"/>
        <w:rPr>
          <w:rFonts w:ascii="Arial" w:hAnsi="Arial" w:cs="Arial"/>
        </w:rPr>
      </w:pPr>
      <w:r>
        <w:rPr>
          <w:rFonts w:ascii="Arial" w:hAnsi="Arial" w:cs="Arial"/>
        </w:rPr>
        <w:lastRenderedPageBreak/>
        <w:t>Reflecting the complexity of treatment outcomes for suicidality, a</w:t>
      </w:r>
      <w:r w:rsidR="00E51CDA">
        <w:rPr>
          <w:rFonts w:ascii="Arial" w:hAnsi="Arial" w:cs="Arial"/>
        </w:rPr>
        <w:t xml:space="preserve"> systematic review and narrative synthesis of the most prominent theoretical models of suicidal behavior concluded that “suicidal behavior remains a complex phenomenon involving multiple factors” and that the “synergistic effect between all factors should be </w:t>
      </w:r>
      <w:r w:rsidR="00E51CDA" w:rsidRPr="00946BE5">
        <w:rPr>
          <w:rFonts w:ascii="Arial" w:hAnsi="Arial" w:cs="Arial"/>
        </w:rPr>
        <w:t>considered” in an effort to both accurately understand and t</w:t>
      </w:r>
      <w:r w:rsidR="00C42445">
        <w:rPr>
          <w:rFonts w:ascii="Arial" w:hAnsi="Arial" w:cs="Arial"/>
        </w:rPr>
        <w:t>reat</w:t>
      </w:r>
      <w:r w:rsidR="00E51CDA" w:rsidRPr="00946BE5">
        <w:rPr>
          <w:rFonts w:ascii="Arial" w:hAnsi="Arial" w:cs="Arial"/>
        </w:rPr>
        <w:t xml:space="preserve"> the phenomenon</w:t>
      </w:r>
      <w:r w:rsidRPr="00946BE5">
        <w:rPr>
          <w:rFonts w:ascii="Arial" w:hAnsi="Arial" w:cs="Arial"/>
        </w:rPr>
        <w:t xml:space="preserve"> </w:t>
      </w:r>
      <w:r w:rsidR="00946BE5" w:rsidRPr="00946BE5">
        <w:rPr>
          <w:rFonts w:ascii="Arial" w:hAnsi="Arial" w:cs="Arial"/>
        </w:rPr>
        <w:t xml:space="preserve">(Díaz-Oliván </w:t>
      </w:r>
      <w:r w:rsidRPr="00946BE5">
        <w:rPr>
          <w:rFonts w:ascii="Arial" w:hAnsi="Arial" w:cs="Arial"/>
        </w:rPr>
        <w:t>et al., 2021).</w:t>
      </w:r>
      <w:r w:rsidR="00E51CDA" w:rsidRPr="00946BE5">
        <w:rPr>
          <w:rFonts w:ascii="Arial" w:hAnsi="Arial" w:cs="Arial"/>
        </w:rPr>
        <w:t xml:space="preserve"> </w:t>
      </w:r>
      <w:r w:rsidR="00002551" w:rsidRPr="00946BE5">
        <w:rPr>
          <w:rFonts w:ascii="Arial" w:hAnsi="Arial" w:cs="Arial"/>
        </w:rPr>
        <w:t>Accordingly, c</w:t>
      </w:r>
      <w:r w:rsidR="00E51CDA" w:rsidRPr="00946BE5">
        <w:rPr>
          <w:rFonts w:ascii="Arial" w:hAnsi="Arial" w:cs="Arial"/>
        </w:rPr>
        <w:t>omprehensive suicide-specific treatments are all guided by theoretical models of suicidal behavior that integrate and emphasize multiple risk factors</w:t>
      </w:r>
      <w:r w:rsidR="00C42445">
        <w:rPr>
          <w:rFonts w:ascii="Arial" w:hAnsi="Arial" w:cs="Arial"/>
        </w:rPr>
        <w:t xml:space="preserve"> cutting across multiple domains</w:t>
      </w:r>
      <w:r w:rsidR="00E51CDA" w:rsidRPr="00946BE5">
        <w:rPr>
          <w:rFonts w:ascii="Arial" w:hAnsi="Arial" w:cs="Arial"/>
        </w:rPr>
        <w:t>, including</w:t>
      </w:r>
      <w:r w:rsidR="00E51CDA">
        <w:rPr>
          <w:rFonts w:ascii="Arial" w:hAnsi="Arial" w:cs="Arial"/>
        </w:rPr>
        <w:t xml:space="preserve"> symptomatic, behavioral, cognitive, and social variables distinct from specific psychiatric diagnosis</w:t>
      </w:r>
      <w:r w:rsidR="004B7180">
        <w:rPr>
          <w:rFonts w:ascii="Arial" w:hAnsi="Arial" w:cs="Arial"/>
        </w:rPr>
        <w:t xml:space="preserve"> at the time of admissio</w:t>
      </w:r>
      <w:r w:rsidR="00082A2A">
        <w:rPr>
          <w:rFonts w:ascii="Arial" w:hAnsi="Arial" w:cs="Arial"/>
        </w:rPr>
        <w:t>n (</w:t>
      </w:r>
      <w:r w:rsidR="00C42445" w:rsidRPr="00946BE5">
        <w:rPr>
          <w:rFonts w:ascii="Arial" w:hAnsi="Arial" w:cs="Arial"/>
        </w:rPr>
        <w:t>Díaz-Oliván et al., 2021</w:t>
      </w:r>
      <w:r w:rsidR="00082A2A">
        <w:rPr>
          <w:rFonts w:ascii="Arial" w:hAnsi="Arial" w:cs="Arial"/>
        </w:rPr>
        <w:t>)</w:t>
      </w:r>
      <w:r w:rsidR="00E51CDA">
        <w:rPr>
          <w:rFonts w:ascii="Arial" w:hAnsi="Arial" w:cs="Arial"/>
        </w:rPr>
        <w:t xml:space="preserve">. In a review of </w:t>
      </w:r>
      <w:r w:rsidR="0017736D">
        <w:rPr>
          <w:rFonts w:ascii="Arial" w:hAnsi="Arial" w:cs="Arial"/>
        </w:rPr>
        <w:t>RCTs</w:t>
      </w:r>
      <w:r w:rsidR="00E51CDA">
        <w:rPr>
          <w:rFonts w:ascii="Arial" w:hAnsi="Arial" w:cs="Arial"/>
        </w:rPr>
        <w:t xml:space="preserve"> targeting suicidality, it was noted that </w:t>
      </w:r>
      <w:r w:rsidR="004B7180">
        <w:rPr>
          <w:rFonts w:ascii="Arial" w:hAnsi="Arial" w:cs="Arial"/>
        </w:rPr>
        <w:t>treatment approaches</w:t>
      </w:r>
      <w:r w:rsidR="00E51CDA">
        <w:rPr>
          <w:rFonts w:ascii="Arial" w:hAnsi="Arial" w:cs="Arial"/>
        </w:rPr>
        <w:t xml:space="preserve"> demonstrated to be effective at reducing outcome markers of suicidal ideation and/or suicide attempts included identifiable “common elements” that targeted individual change across cognitive, affective, and behavioral domains </w:t>
      </w:r>
      <w:r w:rsidR="008D4D8F">
        <w:rPr>
          <w:rFonts w:ascii="Arial" w:hAnsi="Arial" w:cs="Arial"/>
        </w:rPr>
        <w:t>despite</w:t>
      </w:r>
      <w:r w:rsidR="00E51CDA">
        <w:rPr>
          <w:rFonts w:ascii="Arial" w:hAnsi="Arial" w:cs="Arial"/>
        </w:rPr>
        <w:t xml:space="preserve"> only single outcome measures of either ideation or attempts </w:t>
      </w:r>
      <w:r w:rsidR="00EB0910">
        <w:rPr>
          <w:rFonts w:ascii="Arial" w:hAnsi="Arial" w:cs="Arial"/>
        </w:rPr>
        <w:t>routinely</w:t>
      </w:r>
      <w:r w:rsidR="00A506BF">
        <w:rPr>
          <w:rFonts w:ascii="Arial" w:hAnsi="Arial" w:cs="Arial"/>
        </w:rPr>
        <w:t xml:space="preserve"> </w:t>
      </w:r>
      <w:r w:rsidR="00E51CDA">
        <w:rPr>
          <w:rFonts w:ascii="Arial" w:hAnsi="Arial" w:cs="Arial"/>
        </w:rPr>
        <w:t>included</w:t>
      </w:r>
      <w:r w:rsidR="0090458D">
        <w:rPr>
          <w:rFonts w:ascii="Arial" w:hAnsi="Arial" w:cs="Arial"/>
        </w:rPr>
        <w:t xml:space="preserve"> as evidence of intervention efficacy</w:t>
      </w:r>
      <w:r w:rsidR="00082A2A">
        <w:rPr>
          <w:rFonts w:ascii="Arial" w:hAnsi="Arial" w:cs="Arial"/>
        </w:rPr>
        <w:t xml:space="preserve"> (Rudd &amp; Perez-Munoz, 2019). </w:t>
      </w:r>
      <w:r w:rsidR="00E51CDA">
        <w:rPr>
          <w:rFonts w:ascii="Arial" w:hAnsi="Arial" w:cs="Arial"/>
        </w:rPr>
        <w:t xml:space="preserve"> </w:t>
      </w:r>
    </w:p>
    <w:p w14:paraId="1AA32FA0" w14:textId="2B15D04F" w:rsidR="00E51CDA" w:rsidRDefault="00E51CDA" w:rsidP="00E51CDA">
      <w:pPr>
        <w:spacing w:line="480" w:lineRule="auto"/>
        <w:ind w:firstLine="720"/>
        <w:rPr>
          <w:rFonts w:ascii="Arial" w:hAnsi="Arial" w:cs="Arial"/>
        </w:rPr>
      </w:pPr>
      <w:r>
        <w:rPr>
          <w:rFonts w:ascii="Arial" w:hAnsi="Arial" w:cs="Arial"/>
        </w:rPr>
        <w:t>Consistent with the DSM-5-TR (2022)</w:t>
      </w:r>
      <w:r w:rsidR="0077387C">
        <w:rPr>
          <w:rFonts w:ascii="Arial" w:hAnsi="Arial" w:cs="Arial"/>
        </w:rPr>
        <w:t xml:space="preserve"> framework</w:t>
      </w:r>
      <w:r>
        <w:rPr>
          <w:rFonts w:ascii="Arial" w:hAnsi="Arial" w:cs="Arial"/>
        </w:rPr>
        <w:t>, the diagnostic criteria for two proposed suicide-specific syndromes, Acute Suicidal Affective Disturbanc</w:t>
      </w:r>
      <w:r w:rsidR="00B56D46">
        <w:rPr>
          <w:rFonts w:ascii="Arial" w:hAnsi="Arial" w:cs="Arial"/>
        </w:rPr>
        <w:t>e (Rogers et al., 2019)</w:t>
      </w:r>
      <w:r>
        <w:rPr>
          <w:rFonts w:ascii="Arial" w:hAnsi="Arial" w:cs="Arial"/>
        </w:rPr>
        <w:t xml:space="preserve"> and Suicidal Crisis Syndrom</w:t>
      </w:r>
      <w:r w:rsidR="001B461F">
        <w:rPr>
          <w:rFonts w:ascii="Arial" w:hAnsi="Arial" w:cs="Arial"/>
        </w:rPr>
        <w:t>e (Galynker et al., 2024</w:t>
      </w:r>
      <w:r w:rsidR="003D03B0">
        <w:rPr>
          <w:rFonts w:ascii="Arial" w:hAnsi="Arial" w:cs="Arial"/>
        </w:rPr>
        <w:t>; 2025</w:t>
      </w:r>
      <w:r w:rsidR="001B461F">
        <w:rPr>
          <w:rFonts w:ascii="Arial" w:hAnsi="Arial" w:cs="Arial"/>
        </w:rPr>
        <w:t>)</w:t>
      </w:r>
      <w:r w:rsidR="00A506BF">
        <w:rPr>
          <w:rFonts w:ascii="Arial" w:hAnsi="Arial" w:cs="Arial"/>
        </w:rPr>
        <w:t>,</w:t>
      </w:r>
      <w:r>
        <w:rPr>
          <w:rFonts w:ascii="Arial" w:hAnsi="Arial" w:cs="Arial"/>
          <w:vertAlign w:val="superscript"/>
        </w:rPr>
        <w:t xml:space="preserve"> </w:t>
      </w:r>
      <w:r>
        <w:rPr>
          <w:rFonts w:ascii="Arial" w:hAnsi="Arial" w:cs="Arial"/>
        </w:rPr>
        <w:t>conceptualize elevated suicide risk as a multi-symptom syndrome which reflects</w:t>
      </w:r>
      <w:r w:rsidR="0077387C">
        <w:rPr>
          <w:rFonts w:ascii="Arial" w:hAnsi="Arial" w:cs="Arial"/>
        </w:rPr>
        <w:t xml:space="preserve"> disturbance across</w:t>
      </w:r>
      <w:r>
        <w:rPr>
          <w:rFonts w:ascii="Arial" w:hAnsi="Arial" w:cs="Arial"/>
        </w:rPr>
        <w:t xml:space="preserve"> identifiable cognitive, affective, and behavioral element</w:t>
      </w:r>
      <w:r w:rsidR="0077387C">
        <w:rPr>
          <w:rFonts w:ascii="Arial" w:hAnsi="Arial" w:cs="Arial"/>
        </w:rPr>
        <w:t>s</w:t>
      </w:r>
      <w:r w:rsidR="00A506BF">
        <w:rPr>
          <w:rFonts w:ascii="Arial" w:hAnsi="Arial" w:cs="Arial"/>
        </w:rPr>
        <w:t>—</w:t>
      </w:r>
      <w:r w:rsidR="003B5673">
        <w:rPr>
          <w:rFonts w:ascii="Arial" w:hAnsi="Arial" w:cs="Arial"/>
        </w:rPr>
        <w:t xml:space="preserve">not simply </w:t>
      </w:r>
      <w:r w:rsidR="00A506BF">
        <w:rPr>
          <w:rFonts w:ascii="Arial" w:hAnsi="Arial" w:cs="Arial"/>
        </w:rPr>
        <w:t>as a</w:t>
      </w:r>
      <w:r w:rsidR="003B5673">
        <w:rPr>
          <w:rFonts w:ascii="Arial" w:hAnsi="Arial" w:cs="Arial"/>
        </w:rPr>
        <w:t xml:space="preserve"> function of suicidal thinking and/or behaviors</w:t>
      </w:r>
      <w:r>
        <w:rPr>
          <w:rFonts w:ascii="Arial" w:hAnsi="Arial" w:cs="Arial"/>
        </w:rPr>
        <w:t>.</w:t>
      </w:r>
      <w:r>
        <w:rPr>
          <w:rFonts w:ascii="Arial" w:hAnsi="Arial" w:cs="Arial"/>
          <w:vertAlign w:val="superscript"/>
        </w:rPr>
        <w:t xml:space="preserve"> </w:t>
      </w:r>
      <w:r>
        <w:rPr>
          <w:rFonts w:ascii="Arial" w:hAnsi="Arial" w:cs="Arial"/>
        </w:rPr>
        <w:t>Voros et al</w:t>
      </w:r>
      <w:r w:rsidR="003D03B0">
        <w:rPr>
          <w:rFonts w:ascii="Arial" w:hAnsi="Arial" w:cs="Arial"/>
        </w:rPr>
        <w:t>. (2021)</w:t>
      </w:r>
      <w:r>
        <w:rPr>
          <w:rFonts w:ascii="Arial" w:hAnsi="Arial" w:cs="Arial"/>
          <w:vertAlign w:val="superscript"/>
        </w:rPr>
        <w:t xml:space="preserve"> </w:t>
      </w:r>
      <w:r>
        <w:rPr>
          <w:rFonts w:ascii="Arial" w:hAnsi="Arial" w:cs="Arial"/>
        </w:rPr>
        <w:t>described these transdiagnostic, multi-symptomatic syndromes as representing a “paradigm-shift” in the interpretation, understanding, treatment</w:t>
      </w:r>
      <w:r w:rsidR="00DE7D08">
        <w:rPr>
          <w:rFonts w:ascii="Arial" w:hAnsi="Arial" w:cs="Arial"/>
        </w:rPr>
        <w:t>, and</w:t>
      </w:r>
      <w:r w:rsidR="00E469F3">
        <w:rPr>
          <w:rFonts w:ascii="Arial" w:hAnsi="Arial" w:cs="Arial"/>
        </w:rPr>
        <w:t xml:space="preserve"> assess</w:t>
      </w:r>
      <w:r w:rsidR="004602BD">
        <w:rPr>
          <w:rFonts w:ascii="Arial" w:hAnsi="Arial" w:cs="Arial"/>
        </w:rPr>
        <w:t>ment of</w:t>
      </w:r>
      <w:r w:rsidR="00E469F3">
        <w:rPr>
          <w:rFonts w:ascii="Arial" w:hAnsi="Arial" w:cs="Arial"/>
        </w:rPr>
        <w:t xml:space="preserve"> </w:t>
      </w:r>
      <w:r w:rsidR="00DE7D08">
        <w:rPr>
          <w:rFonts w:ascii="Arial" w:hAnsi="Arial" w:cs="Arial"/>
        </w:rPr>
        <w:t xml:space="preserve">treatment response when targeting </w:t>
      </w:r>
      <w:r w:rsidR="00DE7D08">
        <w:rPr>
          <w:rFonts w:ascii="Arial" w:hAnsi="Arial" w:cs="Arial"/>
        </w:rPr>
        <w:lastRenderedPageBreak/>
        <w:t>elevated suicide risk</w:t>
      </w:r>
      <w:r>
        <w:rPr>
          <w:rFonts w:ascii="Arial" w:hAnsi="Arial" w:cs="Arial"/>
        </w:rPr>
        <w:t>. When suicide-specific treatments are being utilized, an accurate reflection of clinically meaningful change require</w:t>
      </w:r>
      <w:r w:rsidR="00C6791B">
        <w:rPr>
          <w:rFonts w:ascii="Arial" w:hAnsi="Arial" w:cs="Arial"/>
        </w:rPr>
        <w:t>s</w:t>
      </w:r>
      <w:r>
        <w:rPr>
          <w:rFonts w:ascii="Arial" w:hAnsi="Arial" w:cs="Arial"/>
        </w:rPr>
        <w:t xml:space="preserve"> more tha</w:t>
      </w:r>
      <w:r w:rsidR="001F145B">
        <w:rPr>
          <w:rFonts w:ascii="Arial" w:hAnsi="Arial" w:cs="Arial"/>
        </w:rPr>
        <w:t xml:space="preserve">n </w:t>
      </w:r>
      <w:r w:rsidR="004602BD">
        <w:rPr>
          <w:rFonts w:ascii="Arial" w:hAnsi="Arial" w:cs="Arial"/>
        </w:rPr>
        <w:t>single</w:t>
      </w:r>
      <w:r w:rsidR="001F145B">
        <w:rPr>
          <w:rFonts w:ascii="Arial" w:hAnsi="Arial" w:cs="Arial"/>
        </w:rPr>
        <w:t xml:space="preserve"> outcome</w:t>
      </w:r>
      <w:r w:rsidR="004602BD">
        <w:rPr>
          <w:rFonts w:ascii="Arial" w:hAnsi="Arial" w:cs="Arial"/>
        </w:rPr>
        <w:t xml:space="preserve"> measures like </w:t>
      </w:r>
      <w:r>
        <w:rPr>
          <w:rFonts w:ascii="Arial" w:hAnsi="Arial" w:cs="Arial"/>
        </w:rPr>
        <w:t>suicidal ideation or the absence of suicide attempts</w:t>
      </w:r>
      <w:r w:rsidR="00E469F3">
        <w:rPr>
          <w:rFonts w:ascii="Arial" w:hAnsi="Arial" w:cs="Arial"/>
        </w:rPr>
        <w:t xml:space="preserve"> </w:t>
      </w:r>
      <w:r>
        <w:rPr>
          <w:rFonts w:ascii="Arial" w:hAnsi="Arial" w:cs="Arial"/>
        </w:rPr>
        <w:t xml:space="preserve">post-treatment. </w:t>
      </w:r>
      <w:r>
        <w:rPr>
          <w:rFonts w:ascii="Arial" w:hAnsi="Arial" w:cs="Arial"/>
        </w:rPr>
        <w:tab/>
      </w:r>
    </w:p>
    <w:p w14:paraId="60F44337" w14:textId="2C4B064F" w:rsidR="00E51CDA" w:rsidRPr="00043876" w:rsidRDefault="004602BD" w:rsidP="00595407">
      <w:pPr>
        <w:spacing w:line="480" w:lineRule="auto"/>
        <w:ind w:firstLine="720"/>
        <w:rPr>
          <w:rFonts w:ascii="Arial" w:hAnsi="Arial" w:cs="Arial"/>
        </w:rPr>
      </w:pPr>
      <w:r>
        <w:rPr>
          <w:rFonts w:ascii="Arial" w:hAnsi="Arial" w:cs="Arial"/>
        </w:rPr>
        <w:t>A</w:t>
      </w:r>
      <w:r w:rsidR="00E51CDA">
        <w:rPr>
          <w:rFonts w:ascii="Arial" w:hAnsi="Arial" w:cs="Arial"/>
        </w:rPr>
        <w:t xml:space="preserve"> syndrome is characterized </w:t>
      </w:r>
      <w:r>
        <w:rPr>
          <w:rFonts w:ascii="Arial" w:hAnsi="Arial" w:cs="Arial"/>
        </w:rPr>
        <w:t>as</w:t>
      </w:r>
      <w:r w:rsidR="00E51CDA" w:rsidRPr="001B28B8">
        <w:rPr>
          <w:rFonts w:ascii="Arial" w:hAnsi="Arial" w:cs="Arial"/>
        </w:rPr>
        <w:t xml:space="preserve"> a clinically significant disturbance in cognition, emotion regulation, or behavior reflecting dysfunction in psychological, biological, or developmental processes</w:t>
      </w:r>
      <w:r>
        <w:rPr>
          <w:rFonts w:ascii="Arial" w:hAnsi="Arial" w:cs="Arial"/>
        </w:rPr>
        <w:t xml:space="preserve"> (DSM-5-TR, 2022)</w:t>
      </w:r>
      <w:r w:rsidR="00E51CDA">
        <w:rPr>
          <w:rFonts w:ascii="Arial" w:hAnsi="Arial" w:cs="Arial"/>
        </w:rPr>
        <w:t xml:space="preserve">. </w:t>
      </w:r>
      <w:r w:rsidR="009A048D">
        <w:rPr>
          <w:rFonts w:ascii="Arial" w:hAnsi="Arial" w:cs="Arial"/>
        </w:rPr>
        <w:t>M</w:t>
      </w:r>
      <w:r w:rsidR="00E51CDA">
        <w:rPr>
          <w:rFonts w:ascii="Arial" w:hAnsi="Arial" w:cs="Arial"/>
        </w:rPr>
        <w:t>easures used to assess treatment outcome</w:t>
      </w:r>
      <w:r w:rsidR="00CD4DF8">
        <w:rPr>
          <w:rFonts w:ascii="Arial" w:hAnsi="Arial" w:cs="Arial"/>
        </w:rPr>
        <w:t>s</w:t>
      </w:r>
      <w:r w:rsidR="00394918">
        <w:rPr>
          <w:rFonts w:ascii="Arial" w:hAnsi="Arial" w:cs="Arial"/>
        </w:rPr>
        <w:t xml:space="preserve"> for common problems like </w:t>
      </w:r>
      <w:r w:rsidR="00E32AA7">
        <w:rPr>
          <w:rFonts w:ascii="Arial" w:hAnsi="Arial" w:cs="Arial"/>
        </w:rPr>
        <w:t>Major Depressive Disorder</w:t>
      </w:r>
      <w:r w:rsidR="00394918">
        <w:rPr>
          <w:rFonts w:ascii="Arial" w:hAnsi="Arial" w:cs="Arial"/>
        </w:rPr>
        <w:t xml:space="preserve"> </w:t>
      </w:r>
      <w:r w:rsidR="00E32AA7">
        <w:rPr>
          <w:rFonts w:ascii="Arial" w:hAnsi="Arial" w:cs="Arial"/>
        </w:rPr>
        <w:t xml:space="preserve">(MDD) </w:t>
      </w:r>
      <w:r w:rsidR="00394918">
        <w:rPr>
          <w:rFonts w:ascii="Arial" w:hAnsi="Arial" w:cs="Arial"/>
        </w:rPr>
        <w:t>routinely</w:t>
      </w:r>
      <w:r w:rsidR="00E51CDA">
        <w:rPr>
          <w:rFonts w:ascii="Arial" w:hAnsi="Arial" w:cs="Arial"/>
        </w:rPr>
        <w:t xml:space="preserve"> incorporate a collection of symptoms, consistent with </w:t>
      </w:r>
      <w:r w:rsidR="00E51CDA" w:rsidRPr="00CD4DF8">
        <w:rPr>
          <w:rFonts w:ascii="Arial" w:hAnsi="Arial" w:cs="Arial"/>
        </w:rPr>
        <w:t>the syndrom</w:t>
      </w:r>
      <w:r w:rsidR="009A048D" w:rsidRPr="00CD4DF8">
        <w:rPr>
          <w:rFonts w:ascii="Arial" w:hAnsi="Arial" w:cs="Arial"/>
        </w:rPr>
        <w:t>e</w:t>
      </w:r>
      <w:r w:rsidR="001F145B">
        <w:rPr>
          <w:rFonts w:ascii="Arial" w:hAnsi="Arial" w:cs="Arial"/>
        </w:rPr>
        <w:t xml:space="preserve"> as</w:t>
      </w:r>
      <w:r w:rsidR="00E51CDA" w:rsidRPr="00CD4DF8">
        <w:rPr>
          <w:rFonts w:ascii="Arial" w:hAnsi="Arial" w:cs="Arial"/>
        </w:rPr>
        <w:t xml:space="preserve"> </w:t>
      </w:r>
      <w:r w:rsidR="00B56DC6">
        <w:rPr>
          <w:rFonts w:ascii="Arial" w:hAnsi="Arial" w:cs="Arial"/>
        </w:rPr>
        <w:t>defined</w:t>
      </w:r>
      <w:r w:rsidR="00E51CDA" w:rsidRPr="00CD4DF8">
        <w:rPr>
          <w:rFonts w:ascii="Arial" w:hAnsi="Arial" w:cs="Arial"/>
        </w:rPr>
        <w:t xml:space="preserve"> in DSM-5-TR (2022)</w:t>
      </w:r>
      <w:r w:rsidR="00E32AA7">
        <w:rPr>
          <w:rFonts w:ascii="Arial" w:hAnsi="Arial" w:cs="Arial"/>
        </w:rPr>
        <w:t xml:space="preserve"> a</w:t>
      </w:r>
      <w:r w:rsidR="001F145B">
        <w:rPr>
          <w:rFonts w:ascii="Arial" w:hAnsi="Arial" w:cs="Arial"/>
        </w:rPr>
        <w:t>nd</w:t>
      </w:r>
      <w:r w:rsidR="00E32AA7">
        <w:rPr>
          <w:rFonts w:ascii="Arial" w:hAnsi="Arial" w:cs="Arial"/>
        </w:rPr>
        <w:t xml:space="preserve"> opposed to only</w:t>
      </w:r>
      <w:r w:rsidR="001F145B">
        <w:rPr>
          <w:rFonts w:ascii="Arial" w:hAnsi="Arial" w:cs="Arial"/>
        </w:rPr>
        <w:t xml:space="preserve"> simple</w:t>
      </w:r>
      <w:r w:rsidR="00B56DC6">
        <w:rPr>
          <w:rFonts w:ascii="Arial" w:hAnsi="Arial" w:cs="Arial"/>
        </w:rPr>
        <w:t xml:space="preserve"> disturbance in mood</w:t>
      </w:r>
      <w:r w:rsidR="00CD4DF8" w:rsidRPr="00CD4DF8">
        <w:rPr>
          <w:rFonts w:ascii="Arial" w:hAnsi="Arial" w:cs="Arial"/>
        </w:rPr>
        <w:t xml:space="preserve"> (Cuijpers et al., 2023)</w:t>
      </w:r>
      <w:r w:rsidR="00E51CDA" w:rsidRPr="00CD4DF8">
        <w:rPr>
          <w:rFonts w:ascii="Arial" w:hAnsi="Arial" w:cs="Arial"/>
        </w:rPr>
        <w:t xml:space="preserve">. </w:t>
      </w:r>
      <w:r w:rsidR="00B56DC6">
        <w:rPr>
          <w:rFonts w:ascii="Arial" w:hAnsi="Arial" w:cs="Arial"/>
        </w:rPr>
        <w:t xml:space="preserve">One of </w:t>
      </w:r>
      <w:r w:rsidR="00E51CDA" w:rsidRPr="00CD4DF8">
        <w:rPr>
          <w:rFonts w:ascii="Arial" w:hAnsi="Arial" w:cs="Arial"/>
        </w:rPr>
        <w:t>the most comm</w:t>
      </w:r>
      <w:r w:rsidR="001F145B">
        <w:rPr>
          <w:rFonts w:ascii="Arial" w:hAnsi="Arial" w:cs="Arial"/>
        </w:rPr>
        <w:t xml:space="preserve">on </w:t>
      </w:r>
      <w:r w:rsidR="00E51CDA" w:rsidRPr="00CD4DF8">
        <w:rPr>
          <w:rFonts w:ascii="Arial" w:hAnsi="Arial" w:cs="Arial"/>
        </w:rPr>
        <w:t xml:space="preserve">measures of depression </w:t>
      </w:r>
      <w:r w:rsidR="00FB25BE" w:rsidRPr="00CD4DF8">
        <w:rPr>
          <w:rFonts w:ascii="Arial" w:hAnsi="Arial" w:cs="Arial"/>
        </w:rPr>
        <w:t>used</w:t>
      </w:r>
      <w:r w:rsidR="00FB25BE">
        <w:rPr>
          <w:rFonts w:ascii="Arial" w:hAnsi="Arial" w:cs="Arial"/>
        </w:rPr>
        <w:t xml:space="preserve"> </w:t>
      </w:r>
      <w:r w:rsidR="00E51CDA">
        <w:rPr>
          <w:rFonts w:ascii="Arial" w:hAnsi="Arial" w:cs="Arial"/>
        </w:rPr>
        <w:t>to track treatment response, the Beck Depression Inventory-II (</w:t>
      </w:r>
      <w:r w:rsidR="00E32AA7">
        <w:rPr>
          <w:rFonts w:ascii="Arial" w:hAnsi="Arial" w:cs="Arial"/>
        </w:rPr>
        <w:t xml:space="preserve">Beck et al., </w:t>
      </w:r>
      <w:r w:rsidR="00E51CDA">
        <w:rPr>
          <w:rFonts w:ascii="Arial" w:hAnsi="Arial" w:cs="Arial"/>
        </w:rPr>
        <w:t>1996)</w:t>
      </w:r>
      <w:r w:rsidR="00B56DC6">
        <w:rPr>
          <w:rFonts w:ascii="Arial" w:hAnsi="Arial" w:cs="Arial"/>
        </w:rPr>
        <w:t xml:space="preserve"> for example</w:t>
      </w:r>
      <w:r w:rsidR="00FB25BE">
        <w:rPr>
          <w:rFonts w:ascii="Arial" w:hAnsi="Arial" w:cs="Arial"/>
        </w:rPr>
        <w:t>,</w:t>
      </w:r>
      <w:r w:rsidR="00E51CDA">
        <w:rPr>
          <w:rFonts w:ascii="Arial" w:hAnsi="Arial" w:cs="Arial"/>
        </w:rPr>
        <w:t xml:space="preserve"> assesses symptoms cutting across cognitive, affective/emotional, somatic/physical domains </w:t>
      </w:r>
      <w:r w:rsidR="009A048D">
        <w:rPr>
          <w:rFonts w:ascii="Arial" w:hAnsi="Arial" w:cs="Arial"/>
        </w:rPr>
        <w:t xml:space="preserve">purposely </w:t>
      </w:r>
      <w:r w:rsidR="00E51CDA">
        <w:rPr>
          <w:rFonts w:ascii="Arial" w:hAnsi="Arial" w:cs="Arial"/>
        </w:rPr>
        <w:t xml:space="preserve">aligning with the diagnostic syndrome of </w:t>
      </w:r>
      <w:r w:rsidR="00E32AA7">
        <w:rPr>
          <w:rFonts w:ascii="Arial" w:hAnsi="Arial" w:cs="Arial"/>
        </w:rPr>
        <w:t>MDD</w:t>
      </w:r>
      <w:r w:rsidR="00E51CDA">
        <w:rPr>
          <w:rFonts w:ascii="Arial" w:hAnsi="Arial" w:cs="Arial"/>
        </w:rPr>
        <w:t xml:space="preserve">. In sharp contrast, </w:t>
      </w:r>
      <w:r w:rsidR="0017736D">
        <w:rPr>
          <w:rFonts w:ascii="Arial" w:hAnsi="Arial" w:cs="Arial"/>
        </w:rPr>
        <w:t xml:space="preserve">RCTs </w:t>
      </w:r>
      <w:r w:rsidR="00E51CDA">
        <w:rPr>
          <w:rFonts w:ascii="Arial" w:hAnsi="Arial" w:cs="Arial"/>
        </w:rPr>
        <w:t xml:space="preserve">targeting elevated suicidality </w:t>
      </w:r>
      <w:r w:rsidR="009A048D">
        <w:rPr>
          <w:rFonts w:ascii="Arial" w:hAnsi="Arial" w:cs="Arial"/>
        </w:rPr>
        <w:t>routinely</w:t>
      </w:r>
      <w:r w:rsidR="008B39DF">
        <w:rPr>
          <w:rFonts w:ascii="Arial" w:hAnsi="Arial" w:cs="Arial"/>
        </w:rPr>
        <w:t xml:space="preserve"> </w:t>
      </w:r>
      <w:r w:rsidR="00E51CDA">
        <w:rPr>
          <w:rFonts w:ascii="Arial" w:hAnsi="Arial" w:cs="Arial"/>
        </w:rPr>
        <w:t>use</w:t>
      </w:r>
      <w:r w:rsidR="00E21BCF">
        <w:rPr>
          <w:rFonts w:ascii="Arial" w:hAnsi="Arial" w:cs="Arial"/>
        </w:rPr>
        <w:t xml:space="preserve"> only</w:t>
      </w:r>
      <w:r w:rsidR="00E51CDA">
        <w:rPr>
          <w:rFonts w:ascii="Arial" w:hAnsi="Arial" w:cs="Arial"/>
        </w:rPr>
        <w:t xml:space="preserve"> single outcome measures</w:t>
      </w:r>
      <w:r w:rsidR="00E21BCF">
        <w:rPr>
          <w:rFonts w:ascii="Arial" w:hAnsi="Arial" w:cs="Arial"/>
        </w:rPr>
        <w:t xml:space="preserve"> to assess treatment response</w:t>
      </w:r>
      <w:r w:rsidR="00E32AA7">
        <w:rPr>
          <w:rFonts w:ascii="Arial" w:hAnsi="Arial" w:cs="Arial"/>
        </w:rPr>
        <w:t>,</w:t>
      </w:r>
      <w:r w:rsidR="00E51CDA">
        <w:rPr>
          <w:rFonts w:ascii="Arial" w:hAnsi="Arial" w:cs="Arial"/>
        </w:rPr>
        <w:t xml:space="preserve"> such as suicide attempts and suicidal ideation</w:t>
      </w:r>
      <w:r w:rsidR="00E21BCF">
        <w:rPr>
          <w:rFonts w:ascii="Arial" w:hAnsi="Arial" w:cs="Arial"/>
        </w:rPr>
        <w:t xml:space="preserve"> </w:t>
      </w:r>
      <w:r w:rsidR="00E51CDA" w:rsidRPr="000A7937">
        <w:rPr>
          <w:rFonts w:ascii="Arial" w:hAnsi="Arial" w:cs="Arial"/>
        </w:rPr>
        <w:t>(</w:t>
      </w:r>
      <w:r w:rsidR="000A7937" w:rsidRPr="000A7937">
        <w:rPr>
          <w:rFonts w:ascii="Arial" w:hAnsi="Arial" w:cs="Arial"/>
        </w:rPr>
        <w:t>van Ballegooijen et al., 2025</w:t>
      </w:r>
      <w:r w:rsidR="00E51CDA" w:rsidRPr="000A7937">
        <w:rPr>
          <w:rFonts w:ascii="Arial" w:hAnsi="Arial" w:cs="Arial"/>
        </w:rPr>
        <w:t>). To</w:t>
      </w:r>
      <w:r w:rsidR="00E51CDA">
        <w:rPr>
          <w:rFonts w:ascii="Arial" w:hAnsi="Arial" w:cs="Arial"/>
        </w:rPr>
        <w:t xml:space="preserve"> date, not a single </w:t>
      </w:r>
      <w:r w:rsidR="0017736D">
        <w:rPr>
          <w:rFonts w:ascii="Arial" w:hAnsi="Arial" w:cs="Arial"/>
        </w:rPr>
        <w:t>RCT</w:t>
      </w:r>
      <w:r w:rsidR="00E51CDA">
        <w:rPr>
          <w:rFonts w:ascii="Arial" w:hAnsi="Arial" w:cs="Arial"/>
        </w:rPr>
        <w:t xml:space="preserve"> targeting elevated suicidality has evaluated treatment response from a </w:t>
      </w:r>
      <w:r w:rsidR="002D52F0">
        <w:rPr>
          <w:rFonts w:ascii="Arial" w:hAnsi="Arial" w:cs="Arial"/>
        </w:rPr>
        <w:t xml:space="preserve">multi-symptom, multi-domain </w:t>
      </w:r>
      <w:r w:rsidR="00E51CDA">
        <w:rPr>
          <w:rFonts w:ascii="Arial" w:hAnsi="Arial" w:cs="Arial"/>
        </w:rPr>
        <w:t>syndrom</w:t>
      </w:r>
      <w:r w:rsidR="000A7937">
        <w:rPr>
          <w:rFonts w:ascii="Arial" w:hAnsi="Arial" w:cs="Arial"/>
        </w:rPr>
        <w:t>e</w:t>
      </w:r>
      <w:r w:rsidR="00E51CDA">
        <w:rPr>
          <w:rFonts w:ascii="Arial" w:hAnsi="Arial" w:cs="Arial"/>
        </w:rPr>
        <w:t xml:space="preserve"> perspective, despite </w:t>
      </w:r>
      <w:r w:rsidR="00631E0F">
        <w:rPr>
          <w:rFonts w:ascii="Arial" w:hAnsi="Arial" w:cs="Arial"/>
        </w:rPr>
        <w:t>employing suicide</w:t>
      </w:r>
      <w:r w:rsidR="00E21BCF">
        <w:rPr>
          <w:rFonts w:ascii="Arial" w:hAnsi="Arial" w:cs="Arial"/>
        </w:rPr>
        <w:t>-</w:t>
      </w:r>
      <w:r w:rsidR="00631E0F">
        <w:rPr>
          <w:rFonts w:ascii="Arial" w:hAnsi="Arial" w:cs="Arial"/>
        </w:rPr>
        <w:t xml:space="preserve">specific </w:t>
      </w:r>
      <w:r w:rsidR="00E51CDA">
        <w:rPr>
          <w:rFonts w:ascii="Arial" w:hAnsi="Arial" w:cs="Arial"/>
        </w:rPr>
        <w:t xml:space="preserve">theoretical </w:t>
      </w:r>
      <w:r w:rsidR="00A4525B">
        <w:rPr>
          <w:rFonts w:ascii="Arial" w:hAnsi="Arial" w:cs="Arial"/>
        </w:rPr>
        <w:t xml:space="preserve">and treatment </w:t>
      </w:r>
      <w:r w:rsidR="00E51CDA">
        <w:rPr>
          <w:rFonts w:ascii="Arial" w:hAnsi="Arial" w:cs="Arial"/>
        </w:rPr>
        <w:t xml:space="preserve">models </w:t>
      </w:r>
      <w:r w:rsidR="000A7937">
        <w:rPr>
          <w:rFonts w:ascii="Arial" w:hAnsi="Arial" w:cs="Arial"/>
        </w:rPr>
        <w:t>targeting risk factors cutting across multiple domains.</w:t>
      </w:r>
      <w:r w:rsidR="008B39DF">
        <w:rPr>
          <w:rFonts w:ascii="Arial" w:hAnsi="Arial" w:cs="Arial"/>
        </w:rPr>
        <w:t xml:space="preserve"> </w:t>
      </w:r>
      <w:r w:rsidR="00595407">
        <w:rPr>
          <w:rFonts w:ascii="Arial" w:hAnsi="Arial" w:cs="Arial"/>
        </w:rPr>
        <w:t>F</w:t>
      </w:r>
      <w:r w:rsidR="007F7361">
        <w:rPr>
          <w:rFonts w:ascii="Arial" w:hAnsi="Arial" w:cs="Arial"/>
        </w:rPr>
        <w:t xml:space="preserve">or example, </w:t>
      </w:r>
      <w:r w:rsidR="00E51CDA">
        <w:rPr>
          <w:rFonts w:ascii="Arial" w:hAnsi="Arial" w:cs="Arial"/>
        </w:rPr>
        <w:t>fluid vulnerability theory (Rudd, 2006)</w:t>
      </w:r>
      <w:r w:rsidR="00595407">
        <w:rPr>
          <w:rFonts w:ascii="Arial" w:hAnsi="Arial" w:cs="Arial"/>
        </w:rPr>
        <w:t xml:space="preserve"> and</w:t>
      </w:r>
      <w:r w:rsidR="007F7361">
        <w:rPr>
          <w:rFonts w:ascii="Arial" w:hAnsi="Arial" w:cs="Arial"/>
        </w:rPr>
        <w:t xml:space="preserve"> </w:t>
      </w:r>
      <w:r w:rsidR="00E51CDA">
        <w:rPr>
          <w:rFonts w:ascii="Arial" w:hAnsi="Arial" w:cs="Arial"/>
        </w:rPr>
        <w:t>Beck’s Theory of Modes (1996)</w:t>
      </w:r>
      <w:r w:rsidR="00595407">
        <w:rPr>
          <w:rFonts w:ascii="Arial" w:hAnsi="Arial" w:cs="Arial"/>
        </w:rPr>
        <w:t xml:space="preserve"> are foundational to</w:t>
      </w:r>
      <w:r w:rsidR="007F7361">
        <w:rPr>
          <w:rFonts w:ascii="Arial" w:hAnsi="Arial" w:cs="Arial"/>
        </w:rPr>
        <w:t xml:space="preserve"> Brief Cognitive Behavioral Therapy for Suicide Prevention</w:t>
      </w:r>
      <w:r w:rsidR="00595407">
        <w:rPr>
          <w:rFonts w:ascii="Arial" w:hAnsi="Arial" w:cs="Arial"/>
        </w:rPr>
        <w:t xml:space="preserve"> (BCBT</w:t>
      </w:r>
      <w:r w:rsidR="009301B2">
        <w:rPr>
          <w:rFonts w:ascii="Arial" w:hAnsi="Arial" w:cs="Arial"/>
        </w:rPr>
        <w:t>-SP</w:t>
      </w:r>
      <w:r w:rsidR="00595407">
        <w:rPr>
          <w:rFonts w:ascii="Arial" w:hAnsi="Arial" w:cs="Arial"/>
        </w:rPr>
        <w:t>)</w:t>
      </w:r>
      <w:r w:rsidR="007F7361">
        <w:rPr>
          <w:rFonts w:ascii="Arial" w:hAnsi="Arial" w:cs="Arial"/>
        </w:rPr>
        <w:t xml:space="preserve"> (</w:t>
      </w:r>
      <w:r w:rsidR="00595407">
        <w:rPr>
          <w:rFonts w:ascii="Arial" w:hAnsi="Arial" w:cs="Arial"/>
        </w:rPr>
        <w:t>Rudd et al., 2015</w:t>
      </w:r>
      <w:r w:rsidR="007F7361">
        <w:rPr>
          <w:rFonts w:ascii="Arial" w:hAnsi="Arial" w:cs="Arial"/>
        </w:rPr>
        <w:t>)</w:t>
      </w:r>
      <w:r w:rsidR="00595407">
        <w:rPr>
          <w:rFonts w:ascii="Arial" w:hAnsi="Arial" w:cs="Arial"/>
        </w:rPr>
        <w:t>. BCBT</w:t>
      </w:r>
      <w:r w:rsidR="009301B2">
        <w:rPr>
          <w:rFonts w:ascii="Arial" w:hAnsi="Arial" w:cs="Arial"/>
        </w:rPr>
        <w:t>-SP</w:t>
      </w:r>
      <w:r w:rsidR="00E51CDA">
        <w:rPr>
          <w:rFonts w:ascii="Arial" w:hAnsi="Arial" w:cs="Arial"/>
        </w:rPr>
        <w:t xml:space="preserve"> conceptualize</w:t>
      </w:r>
      <w:r w:rsidR="00595407">
        <w:rPr>
          <w:rFonts w:ascii="Arial" w:hAnsi="Arial" w:cs="Arial"/>
        </w:rPr>
        <w:t>s</w:t>
      </w:r>
      <w:r w:rsidR="00E51CDA">
        <w:rPr>
          <w:rFonts w:ascii="Arial" w:hAnsi="Arial" w:cs="Arial"/>
        </w:rPr>
        <w:t xml:space="preserve"> elevated suicide risk as a syndrome, </w:t>
      </w:r>
      <w:r w:rsidR="00595407">
        <w:rPr>
          <w:rFonts w:ascii="Arial" w:hAnsi="Arial" w:cs="Arial"/>
        </w:rPr>
        <w:t xml:space="preserve">specifically the suicidal mode, </w:t>
      </w:r>
      <w:r w:rsidR="00E51CDA">
        <w:rPr>
          <w:rFonts w:ascii="Arial" w:hAnsi="Arial" w:cs="Arial"/>
        </w:rPr>
        <w:t xml:space="preserve">comprised of a collection of </w:t>
      </w:r>
      <w:r w:rsidR="00E51CDA">
        <w:rPr>
          <w:rFonts w:ascii="Arial" w:hAnsi="Arial" w:cs="Arial"/>
        </w:rPr>
        <w:lastRenderedPageBreak/>
        <w:t>cognitive, affective/emotional, motivational, somatic/physical/behavioral symptoms</w:t>
      </w:r>
      <w:r w:rsidR="000569CD">
        <w:rPr>
          <w:rFonts w:ascii="Arial" w:hAnsi="Arial" w:cs="Arial"/>
        </w:rPr>
        <w:t>, all critical to effective and impactful treatment</w:t>
      </w:r>
      <w:r w:rsidR="00595407">
        <w:rPr>
          <w:rFonts w:ascii="Arial" w:hAnsi="Arial" w:cs="Arial"/>
        </w:rPr>
        <w:t xml:space="preserve"> (Rudd, 2000)</w:t>
      </w:r>
      <w:r w:rsidR="00E51CDA">
        <w:rPr>
          <w:rFonts w:ascii="Arial" w:hAnsi="Arial" w:cs="Arial"/>
        </w:rPr>
        <w:t xml:space="preserve">. </w:t>
      </w:r>
    </w:p>
    <w:p w14:paraId="17173115" w14:textId="7BE59C97" w:rsidR="00BD3EA6" w:rsidRDefault="00E51CDA" w:rsidP="00E51CDA">
      <w:pPr>
        <w:spacing w:line="480" w:lineRule="auto"/>
        <w:rPr>
          <w:rFonts w:ascii="Arial" w:hAnsi="Arial" w:cs="Arial"/>
        </w:rPr>
      </w:pPr>
      <w:r>
        <w:rPr>
          <w:rFonts w:ascii="Arial" w:hAnsi="Arial" w:cs="Arial"/>
        </w:rPr>
        <w:tab/>
        <w:t>The current study is a secondary analysis of a</w:t>
      </w:r>
      <w:r w:rsidR="00DB1B83">
        <w:rPr>
          <w:rFonts w:ascii="Arial" w:hAnsi="Arial" w:cs="Arial"/>
        </w:rPr>
        <w:t>n</w:t>
      </w:r>
      <w:r>
        <w:rPr>
          <w:rFonts w:ascii="Arial" w:hAnsi="Arial" w:cs="Arial"/>
        </w:rPr>
        <w:t xml:space="preserve"> </w:t>
      </w:r>
      <w:r w:rsidR="0017736D">
        <w:rPr>
          <w:rFonts w:ascii="Arial" w:hAnsi="Arial" w:cs="Arial"/>
        </w:rPr>
        <w:t>RCT</w:t>
      </w:r>
      <w:r>
        <w:rPr>
          <w:rFonts w:ascii="Arial" w:hAnsi="Arial" w:cs="Arial"/>
        </w:rPr>
        <w:t xml:space="preserve"> that explored treatment response and non-response in a sample of individuals hospitalized specifically for elevated suicide risk</w:t>
      </w:r>
      <w:r w:rsidR="00A76ECF">
        <w:rPr>
          <w:rFonts w:ascii="Arial" w:hAnsi="Arial" w:cs="Arial"/>
        </w:rPr>
        <w:t xml:space="preserve"> (Diefenbach et al., 2021; 2024)</w:t>
      </w:r>
      <w:r>
        <w:rPr>
          <w:rFonts w:ascii="Arial" w:hAnsi="Arial" w:cs="Arial"/>
        </w:rPr>
        <w:t xml:space="preserve">. Consistent with the idea of a suicide-specific </w:t>
      </w:r>
      <w:r w:rsidRPr="000701EB">
        <w:rPr>
          <w:rFonts w:ascii="Arial" w:hAnsi="Arial" w:cs="Arial"/>
        </w:rPr>
        <w:t>syndrom</w:t>
      </w:r>
      <w:r w:rsidR="00AD1C5C">
        <w:rPr>
          <w:rFonts w:ascii="Arial" w:hAnsi="Arial" w:cs="Arial"/>
        </w:rPr>
        <w:t>e</w:t>
      </w:r>
      <w:r>
        <w:rPr>
          <w:rFonts w:ascii="Arial" w:hAnsi="Arial" w:cs="Arial"/>
        </w:rPr>
        <w:t>, we utilized a definition of treatment response and non-response that recognized “clinically meaningful change” (i.e., full and partial treatment response) as requiring significant change across affective, cognitive, and behavioral domains</w:t>
      </w:r>
      <w:r w:rsidR="0017736D">
        <w:rPr>
          <w:rFonts w:ascii="Arial" w:hAnsi="Arial" w:cs="Arial"/>
        </w:rPr>
        <w:t>. This change was measured</w:t>
      </w:r>
      <w:r>
        <w:rPr>
          <w:rFonts w:ascii="Arial" w:hAnsi="Arial" w:cs="Arial"/>
        </w:rPr>
        <w:t xml:space="preserve"> using indicators specific to suicide risk and consistent with </w:t>
      </w:r>
      <w:r w:rsidR="0017736D">
        <w:rPr>
          <w:rFonts w:ascii="Arial" w:hAnsi="Arial" w:cs="Arial"/>
        </w:rPr>
        <w:t xml:space="preserve">the </w:t>
      </w:r>
      <w:r>
        <w:rPr>
          <w:rFonts w:ascii="Arial" w:hAnsi="Arial" w:cs="Arial"/>
        </w:rPr>
        <w:t>underlying theoretical models</w:t>
      </w:r>
      <w:r w:rsidR="00682998">
        <w:rPr>
          <w:rFonts w:ascii="Arial" w:hAnsi="Arial" w:cs="Arial"/>
        </w:rPr>
        <w:t xml:space="preserve"> described above</w:t>
      </w:r>
      <w:r>
        <w:rPr>
          <w:rFonts w:ascii="Arial" w:hAnsi="Arial" w:cs="Arial"/>
        </w:rPr>
        <w:t xml:space="preserve">. The original RCT compared treatment as usual </w:t>
      </w:r>
      <w:r w:rsidR="0017736D">
        <w:rPr>
          <w:rFonts w:ascii="Arial" w:hAnsi="Arial" w:cs="Arial"/>
        </w:rPr>
        <w:t xml:space="preserve">(TAU) </w:t>
      </w:r>
      <w:r>
        <w:rPr>
          <w:rFonts w:ascii="Arial" w:hAnsi="Arial" w:cs="Arial"/>
        </w:rPr>
        <w:t xml:space="preserve">to those receiving </w:t>
      </w:r>
      <w:r w:rsidR="0017736D">
        <w:rPr>
          <w:rFonts w:ascii="Arial" w:hAnsi="Arial" w:cs="Arial"/>
        </w:rPr>
        <w:t>TAU</w:t>
      </w:r>
      <w:r>
        <w:rPr>
          <w:rFonts w:ascii="Arial" w:hAnsi="Arial" w:cs="Arial"/>
        </w:rPr>
        <w:t xml:space="preserve"> plus a comprehensive suicide-specific treatment add-on, an </w:t>
      </w:r>
      <w:r w:rsidR="00DB1B83">
        <w:rPr>
          <w:rFonts w:ascii="Arial" w:hAnsi="Arial" w:cs="Arial"/>
        </w:rPr>
        <w:t xml:space="preserve">inpatient </w:t>
      </w:r>
      <w:r>
        <w:rPr>
          <w:rFonts w:ascii="Arial" w:hAnsi="Arial" w:cs="Arial"/>
        </w:rPr>
        <w:t>adaptation of brief cognitive behavioral therapy (BCBT-I</w:t>
      </w:r>
      <w:r w:rsidR="00682998">
        <w:rPr>
          <w:rFonts w:ascii="Arial" w:hAnsi="Arial" w:cs="Arial"/>
        </w:rPr>
        <w:t>) (Diefenbach et al. 2024)</w:t>
      </w:r>
      <w:r w:rsidR="0017736D">
        <w:rPr>
          <w:rFonts w:ascii="Arial" w:hAnsi="Arial" w:cs="Arial"/>
        </w:rPr>
        <w:t>.</w:t>
      </w:r>
    </w:p>
    <w:p w14:paraId="15C37EB5" w14:textId="71ABEC0E" w:rsidR="00E51CDA" w:rsidRDefault="00E51CDA" w:rsidP="00BD3EA6">
      <w:pPr>
        <w:spacing w:line="480" w:lineRule="auto"/>
        <w:ind w:firstLine="720"/>
        <w:rPr>
          <w:rFonts w:ascii="Arial" w:hAnsi="Arial" w:cs="Arial"/>
        </w:rPr>
      </w:pPr>
      <w:r>
        <w:rPr>
          <w:rFonts w:ascii="Arial" w:hAnsi="Arial" w:cs="Arial"/>
        </w:rPr>
        <w:t>Treatment non-response was defined as no significant change in any of the outcome domains, partial response was indicated by significant change in at least one outcome domain, and full response indicated by significant change across all three domains</w:t>
      </w:r>
      <w:r w:rsidR="00134CAE">
        <w:rPr>
          <w:rFonts w:ascii="Arial" w:hAnsi="Arial" w:cs="Arial"/>
        </w:rPr>
        <w:t xml:space="preserve"> of the suicidal mode</w:t>
      </w:r>
      <w:r>
        <w:rPr>
          <w:rFonts w:ascii="Arial" w:hAnsi="Arial" w:cs="Arial"/>
        </w:rPr>
        <w:t>. Specific hypotheses about the impact of BCBT-I on treatment response and non-response included the following:</w:t>
      </w:r>
    </w:p>
    <w:p w14:paraId="07E0B003" w14:textId="54F94074" w:rsidR="00E51CDA" w:rsidRPr="00DB1B83" w:rsidRDefault="00E51CDA" w:rsidP="00DB1B83">
      <w:pPr>
        <w:pStyle w:val="ListParagraph"/>
        <w:numPr>
          <w:ilvl w:val="0"/>
          <w:numId w:val="1"/>
        </w:numPr>
        <w:spacing w:line="480" w:lineRule="auto"/>
        <w:rPr>
          <w:rFonts w:ascii="Arial" w:hAnsi="Arial" w:cs="Arial"/>
        </w:rPr>
      </w:pPr>
      <w:r w:rsidRPr="00DB1B83">
        <w:rPr>
          <w:rFonts w:ascii="Arial" w:hAnsi="Arial" w:cs="Arial"/>
        </w:rPr>
        <w:t>BCBT-I would result in significantly greater rates of both full and partial treatment response</w:t>
      </w:r>
      <w:r w:rsidR="00183ADC">
        <w:rPr>
          <w:rFonts w:ascii="Arial" w:hAnsi="Arial" w:cs="Arial"/>
        </w:rPr>
        <w:t xml:space="preserve"> (i.e., syndrome-level change)</w:t>
      </w:r>
      <w:r w:rsidRPr="00DB1B83">
        <w:rPr>
          <w:rFonts w:ascii="Arial" w:hAnsi="Arial" w:cs="Arial"/>
        </w:rPr>
        <w:t xml:space="preserve"> in comparison to TAU alone given the suicide-specific nature of the care</w:t>
      </w:r>
      <w:r w:rsidR="009301B2">
        <w:rPr>
          <w:rFonts w:ascii="Arial" w:hAnsi="Arial" w:cs="Arial"/>
        </w:rPr>
        <w:t>.</w:t>
      </w:r>
    </w:p>
    <w:p w14:paraId="51CD16CA" w14:textId="36FC7291" w:rsidR="00E51CDA" w:rsidRPr="008B0FA8" w:rsidRDefault="00E51CDA" w:rsidP="008B0FA8">
      <w:pPr>
        <w:pStyle w:val="ListParagraph"/>
        <w:numPr>
          <w:ilvl w:val="0"/>
          <w:numId w:val="1"/>
        </w:numPr>
        <w:spacing w:line="480" w:lineRule="auto"/>
        <w:rPr>
          <w:rFonts w:ascii="Arial" w:hAnsi="Arial" w:cs="Arial"/>
        </w:rPr>
      </w:pPr>
      <w:r w:rsidRPr="00DB1B83">
        <w:rPr>
          <w:rFonts w:ascii="Arial" w:hAnsi="Arial" w:cs="Arial"/>
        </w:rPr>
        <w:t xml:space="preserve">BCBT-I would significantly lower rates of treatment non-response in contrast to </w:t>
      </w:r>
      <w:r w:rsidR="0017736D" w:rsidRPr="00DB1B83">
        <w:rPr>
          <w:rFonts w:ascii="Arial" w:hAnsi="Arial" w:cs="Arial"/>
        </w:rPr>
        <w:t>TAU</w:t>
      </w:r>
      <w:r w:rsidRPr="00DB1B83">
        <w:rPr>
          <w:rFonts w:ascii="Arial" w:hAnsi="Arial" w:cs="Arial"/>
        </w:rPr>
        <w:t>, despite treatmen</w:t>
      </w:r>
      <w:r w:rsidRPr="008B0FA8">
        <w:rPr>
          <w:rFonts w:ascii="Arial" w:hAnsi="Arial" w:cs="Arial"/>
        </w:rPr>
        <w:t xml:space="preserve">t as usual including isolated suicide prevention </w:t>
      </w:r>
      <w:r w:rsidRPr="008B0FA8">
        <w:rPr>
          <w:rFonts w:ascii="Arial" w:hAnsi="Arial" w:cs="Arial"/>
        </w:rPr>
        <w:lastRenderedPageBreak/>
        <w:t>interventions</w:t>
      </w:r>
      <w:r w:rsidR="00C36A7F">
        <w:rPr>
          <w:rFonts w:ascii="Arial" w:hAnsi="Arial" w:cs="Arial"/>
        </w:rPr>
        <w:t xml:space="preserve"> (e.g., safety planning)</w:t>
      </w:r>
      <w:r w:rsidRPr="008B0FA8">
        <w:rPr>
          <w:rFonts w:ascii="Arial" w:hAnsi="Arial" w:cs="Arial"/>
        </w:rPr>
        <w:t xml:space="preserve"> consistent with most inpatient care facilities nationally</w:t>
      </w:r>
      <w:r w:rsidR="009301B2" w:rsidRPr="008B0FA8">
        <w:rPr>
          <w:rFonts w:ascii="Arial" w:hAnsi="Arial" w:cs="Arial"/>
        </w:rPr>
        <w:t>.</w:t>
      </w:r>
      <w:r w:rsidRPr="008B0FA8">
        <w:rPr>
          <w:rFonts w:ascii="Arial" w:hAnsi="Arial" w:cs="Arial"/>
        </w:rPr>
        <w:t xml:space="preserve"> </w:t>
      </w:r>
    </w:p>
    <w:p w14:paraId="43F029F6" w14:textId="1D1AEF13" w:rsidR="00E51CDA" w:rsidRPr="00DB1B83" w:rsidRDefault="00E51CDA" w:rsidP="00DB1B83">
      <w:pPr>
        <w:pStyle w:val="ListParagraph"/>
        <w:numPr>
          <w:ilvl w:val="0"/>
          <w:numId w:val="1"/>
        </w:numPr>
        <w:spacing w:line="480" w:lineRule="auto"/>
        <w:rPr>
          <w:rFonts w:ascii="Arial" w:hAnsi="Arial" w:cs="Arial"/>
        </w:rPr>
      </w:pPr>
      <w:r w:rsidRPr="00DB1B83">
        <w:rPr>
          <w:rFonts w:ascii="Arial" w:hAnsi="Arial" w:cs="Arial"/>
        </w:rPr>
        <w:t xml:space="preserve">Treatment responders (partial and full) across both treatment conditions would report using suicide-specific interventions more frequently than non-responders and report them as </w:t>
      </w:r>
      <w:r w:rsidR="007B2387">
        <w:rPr>
          <w:rFonts w:ascii="Arial" w:hAnsi="Arial" w:cs="Arial"/>
        </w:rPr>
        <w:t xml:space="preserve">significantly </w:t>
      </w:r>
      <w:r w:rsidRPr="00DB1B83">
        <w:rPr>
          <w:rFonts w:ascii="Arial" w:hAnsi="Arial" w:cs="Arial"/>
        </w:rPr>
        <w:t>more helpful</w:t>
      </w:r>
      <w:r w:rsidR="009301B2">
        <w:rPr>
          <w:rFonts w:ascii="Arial" w:hAnsi="Arial" w:cs="Arial"/>
        </w:rPr>
        <w:t>.</w:t>
      </w:r>
    </w:p>
    <w:p w14:paraId="1BC537F9" w14:textId="13650B2B" w:rsidR="00F11B83" w:rsidRDefault="00E51CDA" w:rsidP="00DB1B83">
      <w:pPr>
        <w:pStyle w:val="ListParagraph"/>
        <w:numPr>
          <w:ilvl w:val="0"/>
          <w:numId w:val="1"/>
        </w:numPr>
        <w:spacing w:line="480" w:lineRule="auto"/>
        <w:rPr>
          <w:rFonts w:ascii="Arial" w:hAnsi="Arial" w:cs="Arial"/>
        </w:rPr>
      </w:pPr>
      <w:r w:rsidRPr="00DB1B83">
        <w:rPr>
          <w:rFonts w:ascii="Arial" w:hAnsi="Arial" w:cs="Arial"/>
        </w:rPr>
        <w:t xml:space="preserve">Finally, we hypothesized that there would be unique and identifiable indicators for treatment non-responders across both treatment conditions at intake that could help inform treatment tailoring efforts for inpatient suicide prevention care.  </w:t>
      </w:r>
    </w:p>
    <w:p w14:paraId="0864615C" w14:textId="3CBCC220" w:rsidR="00D24404" w:rsidRPr="00DB1B83" w:rsidRDefault="00D24404" w:rsidP="00DB1B83">
      <w:pPr>
        <w:pStyle w:val="ListParagraph"/>
        <w:numPr>
          <w:ilvl w:val="0"/>
          <w:numId w:val="1"/>
        </w:numPr>
        <w:spacing w:line="480" w:lineRule="auto"/>
        <w:rPr>
          <w:rFonts w:ascii="Arial" w:hAnsi="Arial" w:cs="Arial"/>
        </w:rPr>
      </w:pPr>
      <w:r>
        <w:rPr>
          <w:rFonts w:ascii="Arial" w:hAnsi="Arial" w:cs="Arial"/>
        </w:rPr>
        <w:t xml:space="preserve">Survival analysis will reveal treatment non-responders engage in suicidal behavior </w:t>
      </w:r>
      <w:r w:rsidR="00CE3893">
        <w:rPr>
          <w:rFonts w:ascii="Arial" w:hAnsi="Arial" w:cs="Arial"/>
        </w:rPr>
        <w:t>significantly sooner in the TAU group relative to the BCBT-I arm secondary to the comprehensive and suicide-specific nature of BCBT-I care.</w:t>
      </w:r>
    </w:p>
    <w:p w14:paraId="532CE4E7" w14:textId="77777777" w:rsidR="00F11B83" w:rsidRDefault="00F11B83" w:rsidP="00F11B83">
      <w:pPr>
        <w:spacing w:line="480" w:lineRule="auto"/>
        <w:jc w:val="center"/>
        <w:rPr>
          <w:rFonts w:ascii="Arial" w:hAnsi="Arial" w:cs="Arial"/>
          <w:b/>
          <w:bCs/>
        </w:rPr>
      </w:pPr>
      <w:r>
        <w:rPr>
          <w:rFonts w:ascii="Arial" w:hAnsi="Arial" w:cs="Arial"/>
          <w:b/>
          <w:bCs/>
        </w:rPr>
        <w:t>Methods</w:t>
      </w:r>
    </w:p>
    <w:p w14:paraId="7C5660CF" w14:textId="77777777" w:rsidR="00F11B83" w:rsidRDefault="00F11B83" w:rsidP="00F11B83">
      <w:pPr>
        <w:spacing w:after="0" w:line="480" w:lineRule="auto"/>
        <w:rPr>
          <w:rFonts w:ascii="Arial" w:hAnsi="Arial" w:cs="Arial"/>
          <w:b/>
          <w:bCs/>
        </w:rPr>
      </w:pPr>
      <w:r>
        <w:rPr>
          <w:rFonts w:ascii="Arial" w:hAnsi="Arial" w:cs="Arial"/>
          <w:b/>
          <w:bCs/>
        </w:rPr>
        <w:t>Design</w:t>
      </w:r>
    </w:p>
    <w:p w14:paraId="18CCDED0" w14:textId="3C6CCBD2" w:rsidR="00F11B83" w:rsidRDefault="00F11B83" w:rsidP="00F11B83">
      <w:pPr>
        <w:spacing w:after="0" w:line="480" w:lineRule="auto"/>
        <w:rPr>
          <w:rFonts w:ascii="Arial" w:eastAsia="Times New Roman" w:hAnsi="Arial" w:cs="Arial"/>
          <w:b/>
          <w:bCs/>
        </w:rPr>
      </w:pPr>
      <w:r>
        <w:rPr>
          <w:rFonts w:ascii="Arial" w:hAnsi="Arial" w:cs="Arial"/>
          <w:b/>
          <w:bCs/>
        </w:rPr>
        <w:tab/>
      </w:r>
      <w:r>
        <w:rPr>
          <w:rFonts w:ascii="Arial" w:hAnsi="Arial" w:cs="Arial"/>
        </w:rPr>
        <w:t>The original RCT was a 2-arm parallel randomized clinical trial, comparing an inpatient adaptation of BCBT-SP, BCBT-</w:t>
      </w:r>
      <w:r w:rsidR="009301B2">
        <w:rPr>
          <w:rFonts w:ascii="Arial" w:hAnsi="Arial" w:cs="Arial"/>
        </w:rPr>
        <w:t>I</w:t>
      </w:r>
      <w:r w:rsidR="007B2387">
        <w:rPr>
          <w:rFonts w:ascii="Arial" w:hAnsi="Arial" w:cs="Arial"/>
        </w:rPr>
        <w:t xml:space="preserve"> as a treatment add-on</w:t>
      </w:r>
      <w:r>
        <w:rPr>
          <w:rFonts w:ascii="Arial" w:hAnsi="Arial" w:cs="Arial"/>
        </w:rPr>
        <w:t xml:space="preserve">, to treatment as usual. The study was approved by the Hartford Hospital Institutional Review Board and the trial was preregistered at </w:t>
      </w:r>
      <w:hyperlink r:id="rId8" w:history="1">
        <w:r w:rsidRPr="00253CDB">
          <w:rPr>
            <w:rStyle w:val="Hyperlink"/>
            <w:rFonts w:ascii="Arial" w:hAnsi="Arial" w:cs="Arial"/>
          </w:rPr>
          <w:t>www.clinicialtrials.gov</w:t>
        </w:r>
      </w:hyperlink>
      <w:r>
        <w:rPr>
          <w:rFonts w:ascii="Arial" w:hAnsi="Arial" w:cs="Arial"/>
        </w:rPr>
        <w:t xml:space="preserve"> (</w:t>
      </w:r>
      <w:r w:rsidRPr="00980E14">
        <w:rPr>
          <w:rFonts w:ascii="Arial" w:eastAsia="Times New Roman" w:hAnsi="Arial" w:cs="Arial"/>
        </w:rPr>
        <w:t>NCT04168645</w:t>
      </w:r>
      <w:r>
        <w:rPr>
          <w:rFonts w:ascii="Arial" w:eastAsia="Times New Roman" w:hAnsi="Arial" w:cs="Arial"/>
        </w:rPr>
        <w:t>). Results of the full RCT are available elsewhere</w:t>
      </w:r>
      <w:r w:rsidR="00212243">
        <w:rPr>
          <w:rFonts w:ascii="Arial" w:eastAsia="Times New Roman" w:hAnsi="Arial" w:cs="Arial"/>
        </w:rPr>
        <w:t xml:space="preserve"> (Diefenbach et al., 2024).</w:t>
      </w:r>
    </w:p>
    <w:p w14:paraId="068C7D8D" w14:textId="77777777" w:rsidR="00F11B83" w:rsidRDefault="00F11B83" w:rsidP="00F11B83">
      <w:pPr>
        <w:spacing w:after="0" w:line="480" w:lineRule="auto"/>
        <w:rPr>
          <w:rFonts w:ascii="Arial" w:eastAsia="Times New Roman" w:hAnsi="Arial" w:cs="Arial"/>
          <w:b/>
          <w:bCs/>
        </w:rPr>
      </w:pPr>
    </w:p>
    <w:p w14:paraId="56B92F3C" w14:textId="77777777" w:rsidR="00F11B83" w:rsidRDefault="00F11B83" w:rsidP="00F11B83">
      <w:pPr>
        <w:spacing w:after="0" w:line="480" w:lineRule="auto"/>
        <w:rPr>
          <w:rFonts w:ascii="Arial" w:eastAsia="Times New Roman" w:hAnsi="Arial" w:cs="Arial"/>
          <w:b/>
          <w:bCs/>
        </w:rPr>
      </w:pPr>
      <w:r>
        <w:rPr>
          <w:rFonts w:ascii="Arial" w:eastAsia="Times New Roman" w:hAnsi="Arial" w:cs="Arial"/>
          <w:b/>
          <w:bCs/>
        </w:rPr>
        <w:t>Defining Treatment Response and Non-Response: Suicide Attempts, Suicide Ideation, and Suicide Cognitions</w:t>
      </w:r>
    </w:p>
    <w:p w14:paraId="4B7D926F" w14:textId="77777777" w:rsidR="00AF6496" w:rsidRDefault="00F11B83" w:rsidP="00F11B83">
      <w:pPr>
        <w:spacing w:after="0" w:line="480" w:lineRule="auto"/>
        <w:ind w:firstLine="720"/>
        <w:rPr>
          <w:rFonts w:ascii="Arial" w:eastAsia="Times New Roman" w:hAnsi="Arial" w:cs="Arial"/>
        </w:rPr>
      </w:pPr>
      <w:r>
        <w:rPr>
          <w:rFonts w:ascii="Arial" w:eastAsia="Times New Roman" w:hAnsi="Arial" w:cs="Arial"/>
        </w:rPr>
        <w:t>Treatment response (both partial and full) and non-response was assessed using three indicators across affective, cognitive, and behavioral domains</w:t>
      </w:r>
      <w:r w:rsidR="009301B2">
        <w:rPr>
          <w:rFonts w:ascii="Arial" w:eastAsia="Times New Roman" w:hAnsi="Arial" w:cs="Arial"/>
        </w:rPr>
        <w:t>. These are</w:t>
      </w:r>
      <w:r>
        <w:rPr>
          <w:rFonts w:ascii="Arial" w:eastAsia="Times New Roman" w:hAnsi="Arial" w:cs="Arial"/>
        </w:rPr>
        <w:t xml:space="preserve"> </w:t>
      </w:r>
      <w:r>
        <w:rPr>
          <w:rFonts w:ascii="Arial" w:eastAsia="Times New Roman" w:hAnsi="Arial" w:cs="Arial"/>
        </w:rPr>
        <w:lastRenderedPageBreak/>
        <w:t>consistent with both the conceptualization of a suicide-specific and multi-symptom syndrome</w:t>
      </w:r>
      <w:r w:rsidR="008C0991">
        <w:rPr>
          <w:rFonts w:ascii="Arial" w:eastAsia="Times New Roman" w:hAnsi="Arial" w:cs="Arial"/>
        </w:rPr>
        <w:t xml:space="preserve"> (</w:t>
      </w:r>
      <w:r w:rsidR="00736BCA">
        <w:rPr>
          <w:rFonts w:ascii="Arial" w:eastAsia="Times New Roman" w:hAnsi="Arial" w:cs="Arial"/>
        </w:rPr>
        <w:t xml:space="preserve">i.e., </w:t>
      </w:r>
      <w:r w:rsidR="008C0991">
        <w:rPr>
          <w:rFonts w:ascii="Arial" w:eastAsia="Times New Roman" w:hAnsi="Arial" w:cs="Arial"/>
        </w:rPr>
        <w:t>the suicidal mode)</w:t>
      </w:r>
      <w:r w:rsidR="009301B2">
        <w:rPr>
          <w:rFonts w:ascii="Arial" w:eastAsia="Times New Roman" w:hAnsi="Arial" w:cs="Arial"/>
        </w:rPr>
        <w:t>,</w:t>
      </w:r>
      <w:r>
        <w:rPr>
          <w:rFonts w:ascii="Arial" w:eastAsia="Times New Roman" w:hAnsi="Arial" w:cs="Arial"/>
        </w:rPr>
        <w:t xml:space="preserve"> and the goals of a comprehensive and suicide-specific treatment</w:t>
      </w:r>
      <w:r w:rsidR="009301B2">
        <w:rPr>
          <w:rFonts w:ascii="Arial" w:eastAsia="Times New Roman" w:hAnsi="Arial" w:cs="Arial"/>
        </w:rPr>
        <w:t xml:space="preserve"> (</w:t>
      </w:r>
      <w:r>
        <w:rPr>
          <w:rFonts w:ascii="Arial" w:eastAsia="Times New Roman" w:hAnsi="Arial" w:cs="Arial"/>
        </w:rPr>
        <w:t>in this case</w:t>
      </w:r>
      <w:r w:rsidR="009301B2">
        <w:rPr>
          <w:rFonts w:ascii="Arial" w:eastAsia="Times New Roman" w:hAnsi="Arial" w:cs="Arial"/>
        </w:rPr>
        <w:t>,</w:t>
      </w:r>
      <w:r>
        <w:rPr>
          <w:rFonts w:ascii="Arial" w:eastAsia="Times New Roman" w:hAnsi="Arial" w:cs="Arial"/>
        </w:rPr>
        <w:t xml:space="preserve"> BCBT-I</w:t>
      </w:r>
      <w:r w:rsidR="009301B2">
        <w:rPr>
          <w:rFonts w:ascii="Arial" w:eastAsia="Times New Roman" w:hAnsi="Arial" w:cs="Arial"/>
        </w:rPr>
        <w:t>)</w:t>
      </w:r>
      <w:r>
        <w:rPr>
          <w:rFonts w:ascii="Arial" w:eastAsia="Times New Roman" w:hAnsi="Arial" w:cs="Arial"/>
        </w:rPr>
        <w:t>. The three indicators of treatment response included: (a) a clinically significant reduction in suicidal ideation as measured by the Adult Suicidal Ideation Questionnaire</w:t>
      </w:r>
      <w:r w:rsidR="009301B2">
        <w:rPr>
          <w:rFonts w:ascii="Arial" w:eastAsia="Times New Roman" w:hAnsi="Arial" w:cs="Arial"/>
        </w:rPr>
        <w:t xml:space="preserve"> </w:t>
      </w:r>
      <w:r>
        <w:rPr>
          <w:rFonts w:ascii="Arial" w:eastAsia="Times New Roman" w:hAnsi="Arial" w:cs="Arial"/>
        </w:rPr>
        <w:t>(ASIQ</w:t>
      </w:r>
      <w:r w:rsidR="009301B2">
        <w:rPr>
          <w:rFonts w:ascii="Arial" w:eastAsia="Times New Roman" w:hAnsi="Arial" w:cs="Arial"/>
        </w:rPr>
        <w:t xml:space="preserve">; </w:t>
      </w:r>
      <w:r w:rsidR="00212243">
        <w:rPr>
          <w:rFonts w:ascii="Arial" w:eastAsia="Times New Roman" w:hAnsi="Arial" w:cs="Arial"/>
        </w:rPr>
        <w:t xml:space="preserve">Reynolds, 1991) </w:t>
      </w:r>
      <w:r>
        <w:rPr>
          <w:rFonts w:ascii="Arial" w:eastAsia="Times New Roman" w:hAnsi="Arial" w:cs="Arial"/>
        </w:rPr>
        <w:t>with one-month post-discharge scores no longer clinically elevated and falling within normal limits as defined by the treatment manual</w:t>
      </w:r>
      <w:r w:rsidR="009301B2">
        <w:rPr>
          <w:rFonts w:ascii="Arial" w:eastAsia="Times New Roman" w:hAnsi="Arial" w:cs="Arial"/>
        </w:rPr>
        <w:t>;</w:t>
      </w:r>
      <w:r>
        <w:rPr>
          <w:rFonts w:ascii="Arial" w:eastAsia="Times New Roman" w:hAnsi="Arial" w:cs="Arial"/>
        </w:rPr>
        <w:t xml:space="preserve"> </w:t>
      </w:r>
      <w:r w:rsidR="009301B2">
        <w:rPr>
          <w:rFonts w:ascii="Arial" w:eastAsia="Times New Roman" w:hAnsi="Arial" w:cs="Arial"/>
        </w:rPr>
        <w:t>(</w:t>
      </w:r>
      <w:r>
        <w:rPr>
          <w:rFonts w:ascii="Arial" w:eastAsia="Times New Roman" w:hAnsi="Arial" w:cs="Arial"/>
        </w:rPr>
        <w:t>b) the absence of suicide attempts during follow-up</w:t>
      </w:r>
      <w:r w:rsidR="009301B2">
        <w:rPr>
          <w:rFonts w:ascii="Arial" w:eastAsia="Times New Roman" w:hAnsi="Arial" w:cs="Arial"/>
        </w:rPr>
        <w:t>;</w:t>
      </w:r>
      <w:r>
        <w:rPr>
          <w:rFonts w:ascii="Arial" w:eastAsia="Times New Roman" w:hAnsi="Arial" w:cs="Arial"/>
        </w:rPr>
        <w:t xml:space="preserve"> and </w:t>
      </w:r>
      <w:r w:rsidR="009301B2">
        <w:rPr>
          <w:rFonts w:ascii="Arial" w:eastAsia="Times New Roman" w:hAnsi="Arial" w:cs="Arial"/>
        </w:rPr>
        <w:t>(</w:t>
      </w:r>
      <w:r>
        <w:rPr>
          <w:rFonts w:ascii="Arial" w:eastAsia="Times New Roman" w:hAnsi="Arial" w:cs="Arial"/>
        </w:rPr>
        <w:t>c) a clinically significant reduction in suicidal cognitions as measured by the Brief Suicide Cognitions Scale (B</w:t>
      </w:r>
      <w:r w:rsidR="009301B2">
        <w:rPr>
          <w:rFonts w:ascii="Arial" w:eastAsia="Times New Roman" w:hAnsi="Arial" w:cs="Arial"/>
        </w:rPr>
        <w:t>-</w:t>
      </w:r>
      <w:r>
        <w:rPr>
          <w:rFonts w:ascii="Arial" w:eastAsia="Times New Roman" w:hAnsi="Arial" w:cs="Arial"/>
        </w:rPr>
        <w:t>SCS</w:t>
      </w:r>
      <w:r w:rsidR="009301B2">
        <w:rPr>
          <w:rFonts w:ascii="Arial" w:eastAsia="Times New Roman" w:hAnsi="Arial" w:cs="Arial"/>
        </w:rPr>
        <w:t xml:space="preserve">; </w:t>
      </w:r>
      <w:r w:rsidR="00212243">
        <w:rPr>
          <w:rFonts w:ascii="Arial" w:eastAsia="Times New Roman" w:hAnsi="Arial" w:cs="Arial"/>
        </w:rPr>
        <w:t>Rudd &amp; Bryan, 2021).</w:t>
      </w:r>
      <w:r>
        <w:rPr>
          <w:rFonts w:ascii="Arial" w:eastAsia="Times New Roman" w:hAnsi="Arial" w:cs="Arial"/>
        </w:rPr>
        <w:t xml:space="preserve"> </w:t>
      </w:r>
    </w:p>
    <w:p w14:paraId="195606A9" w14:textId="30BC1B6B" w:rsidR="00F11B83" w:rsidRDefault="00F11B83" w:rsidP="00F11B83">
      <w:pPr>
        <w:spacing w:after="0" w:line="480" w:lineRule="auto"/>
        <w:ind w:firstLine="720"/>
        <w:rPr>
          <w:rFonts w:ascii="Arial" w:eastAsia="Times New Roman" w:hAnsi="Arial" w:cs="Arial"/>
        </w:rPr>
      </w:pPr>
      <w:r>
        <w:rPr>
          <w:rFonts w:ascii="Arial" w:eastAsia="Times New Roman" w:hAnsi="Arial" w:cs="Arial"/>
        </w:rPr>
        <w:t>Clinically significant change in B</w:t>
      </w:r>
      <w:r w:rsidR="009301B2">
        <w:rPr>
          <w:rFonts w:ascii="Arial" w:eastAsia="Times New Roman" w:hAnsi="Arial" w:cs="Arial"/>
        </w:rPr>
        <w:t>-</w:t>
      </w:r>
      <w:r>
        <w:rPr>
          <w:rFonts w:ascii="Arial" w:eastAsia="Times New Roman" w:hAnsi="Arial" w:cs="Arial"/>
        </w:rPr>
        <w:t>SCS scores was determined in accordance with criteria detailed by Jacobsen and Trua</w:t>
      </w:r>
      <w:r w:rsidR="009F0CC0">
        <w:rPr>
          <w:rFonts w:ascii="Arial" w:eastAsia="Times New Roman" w:hAnsi="Arial" w:cs="Arial"/>
        </w:rPr>
        <w:t>x (1991)</w:t>
      </w:r>
      <w:r>
        <w:rPr>
          <w:rFonts w:ascii="Arial" w:eastAsia="Times New Roman" w:hAnsi="Arial" w:cs="Arial"/>
          <w:vertAlign w:val="superscript"/>
        </w:rPr>
        <w:t xml:space="preserve"> </w:t>
      </w:r>
      <w:r>
        <w:rPr>
          <w:rFonts w:ascii="Arial" w:eastAsia="Times New Roman" w:hAnsi="Arial" w:cs="Arial"/>
        </w:rPr>
        <w:t>and clinically significant change in ASIQ scores was</w:t>
      </w:r>
      <w:r w:rsidR="00736BCA">
        <w:rPr>
          <w:rFonts w:ascii="Arial" w:eastAsia="Times New Roman" w:hAnsi="Arial" w:cs="Arial"/>
        </w:rPr>
        <w:t xml:space="preserve"> defined</w:t>
      </w:r>
      <w:r>
        <w:rPr>
          <w:rFonts w:ascii="Arial" w:eastAsia="Times New Roman" w:hAnsi="Arial" w:cs="Arial"/>
        </w:rPr>
        <w:t xml:space="preserve"> a score that fell within normal limits as defined by the scale manua</w:t>
      </w:r>
      <w:r w:rsidR="009F0CC0">
        <w:rPr>
          <w:rFonts w:ascii="Arial" w:eastAsia="Times New Roman" w:hAnsi="Arial" w:cs="Arial"/>
        </w:rPr>
        <w:t>l (Reynolds, 1991).</w:t>
      </w:r>
      <w:r>
        <w:rPr>
          <w:rFonts w:ascii="Arial" w:eastAsia="Times New Roman" w:hAnsi="Arial" w:cs="Arial"/>
        </w:rPr>
        <w:t xml:space="preserve"> Details of determining B</w:t>
      </w:r>
      <w:r w:rsidR="0023277C">
        <w:rPr>
          <w:rFonts w:ascii="Arial" w:eastAsia="Times New Roman" w:hAnsi="Arial" w:cs="Arial"/>
        </w:rPr>
        <w:t>-</w:t>
      </w:r>
      <w:r>
        <w:rPr>
          <w:rFonts w:ascii="Arial" w:eastAsia="Times New Roman" w:hAnsi="Arial" w:cs="Arial"/>
        </w:rPr>
        <w:t xml:space="preserve">SCS cutting scores using a normative sample is available </w:t>
      </w:r>
      <w:r w:rsidR="0023277C">
        <w:rPr>
          <w:rFonts w:ascii="Arial" w:eastAsia="Times New Roman" w:hAnsi="Arial" w:cs="Arial"/>
        </w:rPr>
        <w:t xml:space="preserve">in </w:t>
      </w:r>
      <w:r w:rsidR="009F0CC0">
        <w:rPr>
          <w:rFonts w:ascii="Arial" w:eastAsia="Times New Roman" w:hAnsi="Arial" w:cs="Arial"/>
        </w:rPr>
        <w:t>Rudd et al</w:t>
      </w:r>
      <w:r w:rsidR="0023277C">
        <w:rPr>
          <w:rFonts w:ascii="Arial" w:eastAsia="Times New Roman" w:hAnsi="Arial" w:cs="Arial"/>
        </w:rPr>
        <w:t>. (</w:t>
      </w:r>
      <w:r w:rsidR="009F0CC0">
        <w:rPr>
          <w:rFonts w:ascii="Arial" w:eastAsia="Times New Roman" w:hAnsi="Arial" w:cs="Arial"/>
        </w:rPr>
        <w:t>2025</w:t>
      </w:r>
      <w:r w:rsidR="00736BCA">
        <w:rPr>
          <w:rFonts w:ascii="Arial" w:eastAsia="Times New Roman" w:hAnsi="Arial" w:cs="Arial"/>
        </w:rPr>
        <w:t>; 2026</w:t>
      </w:r>
      <w:r w:rsidR="009F0CC0">
        <w:rPr>
          <w:rFonts w:ascii="Arial" w:eastAsia="Times New Roman" w:hAnsi="Arial" w:cs="Arial"/>
        </w:rPr>
        <w:t>).</w:t>
      </w:r>
      <w:r>
        <w:rPr>
          <w:rFonts w:ascii="Arial" w:eastAsia="Times New Roman" w:hAnsi="Arial" w:cs="Arial"/>
        </w:rPr>
        <w:t xml:space="preserve"> One-month post-discharge scores for the B</w:t>
      </w:r>
      <w:r w:rsidR="0023277C">
        <w:rPr>
          <w:rFonts w:ascii="Arial" w:eastAsia="Times New Roman" w:hAnsi="Arial" w:cs="Arial"/>
        </w:rPr>
        <w:t>-</w:t>
      </w:r>
      <w:r>
        <w:rPr>
          <w:rFonts w:ascii="Arial" w:eastAsia="Times New Roman" w:hAnsi="Arial" w:cs="Arial"/>
        </w:rPr>
        <w:t>SCS and ASIQ were used in assessing clinically significant change secondary to the expectation of routine improvement in post-discharge scores for those receiving inpatient care</w:t>
      </w:r>
      <w:r w:rsidR="008142CC">
        <w:rPr>
          <w:rFonts w:ascii="Arial" w:eastAsia="Times New Roman" w:hAnsi="Arial" w:cs="Arial"/>
        </w:rPr>
        <w:t xml:space="preserve"> immediately prior to discharge</w:t>
      </w:r>
      <w:r>
        <w:rPr>
          <w:rFonts w:ascii="Arial" w:eastAsia="Times New Roman" w:hAnsi="Arial" w:cs="Arial"/>
        </w:rPr>
        <w:t xml:space="preserve">. </w:t>
      </w:r>
      <w:r>
        <w:rPr>
          <w:rFonts w:ascii="Arial" w:hAnsi="Arial" w:cs="Arial"/>
        </w:rPr>
        <w:t>The p</w:t>
      </w:r>
      <w:r w:rsidRPr="00980E14">
        <w:rPr>
          <w:rFonts w:ascii="Arial" w:hAnsi="Arial" w:cs="Arial"/>
        </w:rPr>
        <w:t xml:space="preserve">resence and number of suicide attempts </w:t>
      </w:r>
      <w:r>
        <w:rPr>
          <w:rFonts w:ascii="Arial" w:hAnsi="Arial" w:cs="Arial"/>
        </w:rPr>
        <w:t>(including actual</w:t>
      </w:r>
      <w:r w:rsidR="00AF6496">
        <w:rPr>
          <w:rFonts w:ascii="Arial" w:hAnsi="Arial" w:cs="Arial"/>
        </w:rPr>
        <w:t>, aborted,</w:t>
      </w:r>
      <w:r>
        <w:rPr>
          <w:rFonts w:ascii="Arial" w:hAnsi="Arial" w:cs="Arial"/>
        </w:rPr>
        <w:t xml:space="preserve"> and interrupted attempts) </w:t>
      </w:r>
      <w:r w:rsidRPr="00980E14">
        <w:rPr>
          <w:rFonts w:ascii="Arial" w:hAnsi="Arial" w:cs="Arial"/>
        </w:rPr>
        <w:t>were assessed using the Columbia Suicide Severity Rating Scale (C-SSRS</w:t>
      </w:r>
      <w:r w:rsidR="0023277C">
        <w:rPr>
          <w:rFonts w:ascii="Arial" w:hAnsi="Arial" w:cs="Arial"/>
        </w:rPr>
        <w:t xml:space="preserve">; </w:t>
      </w:r>
      <w:r w:rsidR="009F0CC0">
        <w:rPr>
          <w:rFonts w:ascii="Arial" w:hAnsi="Arial" w:cs="Arial"/>
        </w:rPr>
        <w:t>Posner, 2007)</w:t>
      </w:r>
      <w:r w:rsidRPr="00980E14">
        <w:rPr>
          <w:rFonts w:ascii="Arial" w:hAnsi="Arial" w:cs="Arial"/>
        </w:rPr>
        <w:t xml:space="preserve"> and </w:t>
      </w:r>
      <w:r w:rsidR="0023277C">
        <w:rPr>
          <w:rFonts w:ascii="Arial" w:hAnsi="Arial" w:cs="Arial"/>
        </w:rPr>
        <w:t xml:space="preserve">an </w:t>
      </w:r>
      <w:r w:rsidRPr="00980E14">
        <w:rPr>
          <w:rFonts w:ascii="Arial" w:hAnsi="Arial" w:cs="Arial"/>
        </w:rPr>
        <w:t xml:space="preserve">electronic medical record (EMR) review. </w:t>
      </w:r>
      <w:r>
        <w:rPr>
          <w:rFonts w:ascii="Arial" w:hAnsi="Arial" w:cs="Arial"/>
        </w:rPr>
        <w:t xml:space="preserve">Suicide attempts were tracked monthly over the six-month follow-up period. It is important to recognize that the use of a behavioral domain </w:t>
      </w:r>
      <w:r w:rsidR="0023277C">
        <w:rPr>
          <w:rFonts w:ascii="Arial" w:hAnsi="Arial" w:cs="Arial"/>
        </w:rPr>
        <w:t>such as</w:t>
      </w:r>
      <w:r>
        <w:rPr>
          <w:rFonts w:ascii="Arial" w:hAnsi="Arial" w:cs="Arial"/>
        </w:rPr>
        <w:t xml:space="preserve"> suicide attempts is a marker that ultimately requires longer periods of follow-up </w:t>
      </w:r>
      <w:r>
        <w:rPr>
          <w:rFonts w:ascii="Arial" w:hAnsi="Arial" w:cs="Arial"/>
        </w:rPr>
        <w:lastRenderedPageBreak/>
        <w:t xml:space="preserve">for the behavior to emerge </w:t>
      </w:r>
      <w:r w:rsidR="0023277C">
        <w:rPr>
          <w:rFonts w:ascii="Arial" w:hAnsi="Arial" w:cs="Arial"/>
        </w:rPr>
        <w:t>and</w:t>
      </w:r>
      <w:r>
        <w:rPr>
          <w:rFonts w:ascii="Arial" w:hAnsi="Arial" w:cs="Arial"/>
        </w:rPr>
        <w:t xml:space="preserve"> is best described as a marker of “prolonged” treatment response. In this case, the RCT included six-month follow-up data. </w:t>
      </w:r>
    </w:p>
    <w:p w14:paraId="144A5086" w14:textId="18FCF498" w:rsidR="00F11B83" w:rsidRDefault="00F11B83" w:rsidP="00F11B83">
      <w:pPr>
        <w:spacing w:after="0" w:line="480" w:lineRule="auto"/>
        <w:ind w:firstLine="720"/>
        <w:rPr>
          <w:rFonts w:ascii="Arial" w:hAnsi="Arial" w:cs="Arial"/>
          <w:b/>
          <w:bCs/>
        </w:rPr>
      </w:pPr>
      <w:r>
        <w:rPr>
          <w:rFonts w:ascii="Arial" w:eastAsia="Times New Roman" w:hAnsi="Arial" w:cs="Arial"/>
        </w:rPr>
        <w:t>The three outcome indicators cut across affective, cognitive, and behavioral domains. Jobes and Joine</w:t>
      </w:r>
      <w:r w:rsidR="00D770DB">
        <w:rPr>
          <w:rFonts w:ascii="Arial" w:eastAsia="Times New Roman" w:hAnsi="Arial" w:cs="Arial"/>
        </w:rPr>
        <w:t>r (2019)</w:t>
      </w:r>
      <w:r>
        <w:rPr>
          <w:rFonts w:ascii="Arial" w:eastAsia="Times New Roman" w:hAnsi="Arial" w:cs="Arial"/>
          <w:vertAlign w:val="superscript"/>
        </w:rPr>
        <w:t xml:space="preserve"> </w:t>
      </w:r>
      <w:r>
        <w:rPr>
          <w:rFonts w:ascii="Arial" w:eastAsia="Times New Roman" w:hAnsi="Arial" w:cs="Arial"/>
        </w:rPr>
        <w:t>offer a compelling argument for suicidal ideation as a marker of affective distress and critical target for suicide-specific care. Similarly, the B</w:t>
      </w:r>
      <w:r w:rsidR="0023277C">
        <w:rPr>
          <w:rFonts w:ascii="Arial" w:eastAsia="Times New Roman" w:hAnsi="Arial" w:cs="Arial"/>
        </w:rPr>
        <w:t>-</w:t>
      </w:r>
      <w:r>
        <w:rPr>
          <w:rFonts w:ascii="Arial" w:eastAsia="Times New Roman" w:hAnsi="Arial" w:cs="Arial"/>
        </w:rPr>
        <w:t>SCS</w:t>
      </w:r>
      <w:r w:rsidR="00D35D03">
        <w:rPr>
          <w:rFonts w:ascii="Arial" w:eastAsia="Times New Roman" w:hAnsi="Arial" w:cs="Arial"/>
          <w:vertAlign w:val="superscript"/>
        </w:rPr>
        <w:t xml:space="preserve"> </w:t>
      </w:r>
      <w:r>
        <w:rPr>
          <w:rFonts w:ascii="Arial" w:eastAsia="Times New Roman" w:hAnsi="Arial" w:cs="Arial"/>
        </w:rPr>
        <w:t>measures suicide cognitions specific to motivation to die</w:t>
      </w:r>
      <w:r w:rsidR="008142CC">
        <w:rPr>
          <w:rFonts w:ascii="Arial" w:eastAsia="Times New Roman" w:hAnsi="Arial" w:cs="Arial"/>
        </w:rPr>
        <w:t xml:space="preserve"> and representative of the cognitive component of the suicidal mode</w:t>
      </w:r>
      <w:r w:rsidR="0023277C">
        <w:rPr>
          <w:rFonts w:ascii="Arial" w:eastAsia="Times New Roman" w:hAnsi="Arial" w:cs="Arial"/>
        </w:rPr>
        <w:t xml:space="preserve">, </w:t>
      </w:r>
      <w:r>
        <w:rPr>
          <w:rFonts w:ascii="Arial" w:eastAsia="Times New Roman" w:hAnsi="Arial" w:cs="Arial"/>
        </w:rPr>
        <w:t xml:space="preserve">and suicide attempts is a behavioral marker and arguably the “gold standard” of outcome measures for suicide-specific treatments. </w:t>
      </w:r>
    </w:p>
    <w:p w14:paraId="612062D9" w14:textId="77777777" w:rsidR="00212243" w:rsidRDefault="00212243" w:rsidP="00F11B83">
      <w:pPr>
        <w:spacing w:after="0" w:line="480" w:lineRule="auto"/>
        <w:rPr>
          <w:rFonts w:ascii="Arial" w:hAnsi="Arial" w:cs="Arial"/>
          <w:b/>
          <w:bCs/>
        </w:rPr>
      </w:pPr>
    </w:p>
    <w:p w14:paraId="01FFD0F7" w14:textId="0F5C406E" w:rsidR="00F11B83" w:rsidRPr="00FB5389" w:rsidRDefault="00F11B83" w:rsidP="00F11B83">
      <w:pPr>
        <w:spacing w:after="0" w:line="480" w:lineRule="auto"/>
        <w:rPr>
          <w:rFonts w:ascii="Arial" w:hAnsi="Arial" w:cs="Arial"/>
          <w:b/>
          <w:bCs/>
        </w:rPr>
      </w:pPr>
      <w:r>
        <w:rPr>
          <w:rFonts w:ascii="Arial" w:hAnsi="Arial" w:cs="Arial"/>
          <w:b/>
          <w:bCs/>
        </w:rPr>
        <w:t>Setting and Participants</w:t>
      </w:r>
    </w:p>
    <w:p w14:paraId="4E00549E" w14:textId="37198402" w:rsidR="00F11B83" w:rsidRDefault="00F11B83" w:rsidP="00F11B83">
      <w:pPr>
        <w:spacing w:after="0" w:line="480" w:lineRule="auto"/>
        <w:ind w:firstLine="720"/>
        <w:rPr>
          <w:rFonts w:ascii="Arial" w:hAnsi="Arial" w:cs="Arial"/>
        </w:rPr>
      </w:pPr>
      <w:r>
        <w:rPr>
          <w:rFonts w:ascii="Arial" w:hAnsi="Arial" w:cs="Arial"/>
        </w:rPr>
        <w:t>Demographics and general clinical comparisons for each treatment group and details regarding each treatment condition are available in the original RC</w:t>
      </w:r>
      <w:r w:rsidR="00D770DB">
        <w:rPr>
          <w:rFonts w:ascii="Arial" w:hAnsi="Arial" w:cs="Arial"/>
        </w:rPr>
        <w:t>T (Diefenbach et al., 2024). T</w:t>
      </w:r>
      <w:r>
        <w:rPr>
          <w:rFonts w:ascii="Arial" w:hAnsi="Arial" w:cs="Arial"/>
        </w:rPr>
        <w:t>wo hundred psychiatric inpatients with a history of suicide attempt</w:t>
      </w:r>
      <w:r w:rsidRPr="00BA70C6">
        <w:rPr>
          <w:rFonts w:ascii="Arial" w:hAnsi="Arial" w:cs="Arial"/>
        </w:rPr>
        <w:t xml:space="preserve"> </w:t>
      </w:r>
      <w:r>
        <w:rPr>
          <w:rFonts w:ascii="Arial" w:hAnsi="Arial" w:cs="Arial"/>
        </w:rPr>
        <w:t>(</w:t>
      </w:r>
      <w:r w:rsidRPr="00980E14">
        <w:rPr>
          <w:rFonts w:ascii="Arial" w:hAnsi="Arial" w:cs="Arial"/>
        </w:rPr>
        <w:t>either within one week of admission or within two years along with suicidal ideation and plan on admission</w:t>
      </w:r>
      <w:r>
        <w:rPr>
          <w:rFonts w:ascii="Arial" w:hAnsi="Arial" w:cs="Arial"/>
        </w:rPr>
        <w:t>) were enrolled. Participants were</w:t>
      </w:r>
      <w:r w:rsidRPr="00980E14">
        <w:rPr>
          <w:rFonts w:ascii="Arial" w:hAnsi="Arial" w:cs="Arial"/>
        </w:rPr>
        <w:t xml:space="preserve"> </w:t>
      </w:r>
      <w:r>
        <w:rPr>
          <w:rFonts w:ascii="Arial" w:hAnsi="Arial" w:cs="Arial"/>
        </w:rPr>
        <w:t xml:space="preserve">randomized to either </w:t>
      </w:r>
      <w:r w:rsidRPr="00980E14">
        <w:rPr>
          <w:rFonts w:ascii="Arial" w:hAnsi="Arial" w:cs="Arial"/>
        </w:rPr>
        <w:t xml:space="preserve">BCBT-I </w:t>
      </w:r>
      <w:r>
        <w:rPr>
          <w:rFonts w:ascii="Arial" w:hAnsi="Arial" w:cs="Arial"/>
        </w:rPr>
        <w:t>(</w:t>
      </w:r>
      <w:r w:rsidRPr="00980E14">
        <w:rPr>
          <w:rFonts w:ascii="Arial" w:hAnsi="Arial" w:cs="Arial"/>
          <w:i/>
        </w:rPr>
        <w:t>n</w:t>
      </w:r>
      <w:r w:rsidRPr="00980E14">
        <w:rPr>
          <w:rFonts w:ascii="Arial" w:hAnsi="Arial" w:cs="Arial"/>
        </w:rPr>
        <w:t xml:space="preserve"> = 94</w:t>
      </w:r>
      <w:r>
        <w:rPr>
          <w:rFonts w:ascii="Arial" w:hAnsi="Arial" w:cs="Arial"/>
        </w:rPr>
        <w:t>) or</w:t>
      </w:r>
      <w:r w:rsidRPr="00980E14">
        <w:rPr>
          <w:rFonts w:ascii="Arial" w:hAnsi="Arial" w:cs="Arial"/>
        </w:rPr>
        <w:t xml:space="preserve"> TAU </w:t>
      </w:r>
      <w:r>
        <w:rPr>
          <w:rFonts w:ascii="Arial" w:hAnsi="Arial" w:cs="Arial"/>
        </w:rPr>
        <w:t>(</w:t>
      </w:r>
      <w:r w:rsidRPr="00980E14">
        <w:rPr>
          <w:rFonts w:ascii="Arial" w:hAnsi="Arial" w:cs="Arial"/>
          <w:i/>
        </w:rPr>
        <w:t>n</w:t>
      </w:r>
      <w:r w:rsidRPr="00980E14">
        <w:rPr>
          <w:rFonts w:ascii="Arial" w:hAnsi="Arial" w:cs="Arial"/>
        </w:rPr>
        <w:t xml:space="preserve"> = 106). See Diefenbach and colleague</w:t>
      </w:r>
      <w:r w:rsidR="007729D5">
        <w:rPr>
          <w:rFonts w:ascii="Arial" w:hAnsi="Arial" w:cs="Arial"/>
        </w:rPr>
        <w:t>s (2024)</w:t>
      </w:r>
      <w:r w:rsidRPr="00980E14">
        <w:rPr>
          <w:rFonts w:ascii="Arial" w:hAnsi="Arial" w:cs="Arial"/>
        </w:rPr>
        <w:t xml:space="preserve"> for additional details on </w:t>
      </w:r>
      <w:r>
        <w:rPr>
          <w:rFonts w:ascii="Arial" w:hAnsi="Arial" w:cs="Arial"/>
        </w:rPr>
        <w:t xml:space="preserve">participant characteristics, </w:t>
      </w:r>
      <w:r w:rsidRPr="00980E14">
        <w:rPr>
          <w:rFonts w:ascii="Arial" w:hAnsi="Arial" w:cs="Arial"/>
        </w:rPr>
        <w:t xml:space="preserve">participant flow and </w:t>
      </w:r>
      <w:r>
        <w:rPr>
          <w:rFonts w:ascii="Arial" w:hAnsi="Arial" w:cs="Arial"/>
        </w:rPr>
        <w:t xml:space="preserve">related </w:t>
      </w:r>
      <w:r w:rsidRPr="00980E14">
        <w:rPr>
          <w:rFonts w:ascii="Arial" w:hAnsi="Arial" w:cs="Arial"/>
        </w:rPr>
        <w:t xml:space="preserve">sample characteristics. </w:t>
      </w:r>
      <w:r>
        <w:rPr>
          <w:rFonts w:ascii="Arial" w:hAnsi="Arial" w:cs="Arial"/>
        </w:rPr>
        <w:t>For this secondary analysis, those with partial missing follow-up data (an additional four participants) were excluded from the analysis</w:t>
      </w:r>
      <w:r w:rsidR="008142CC">
        <w:rPr>
          <w:rFonts w:ascii="Arial" w:hAnsi="Arial" w:cs="Arial"/>
        </w:rPr>
        <w:t>, with the limited number having marginal impact on results.</w:t>
      </w:r>
    </w:p>
    <w:p w14:paraId="7DBB16C6" w14:textId="77777777" w:rsidR="00F11B83" w:rsidRDefault="00F11B83" w:rsidP="00F11B83">
      <w:pPr>
        <w:spacing w:after="0" w:line="480" w:lineRule="auto"/>
        <w:rPr>
          <w:rFonts w:ascii="Arial" w:hAnsi="Arial" w:cs="Arial"/>
          <w:b/>
          <w:bCs/>
        </w:rPr>
      </w:pPr>
      <w:r w:rsidRPr="00980E14">
        <w:rPr>
          <w:rFonts w:ascii="Arial" w:hAnsi="Arial" w:cs="Arial"/>
        </w:rPr>
        <w:t xml:space="preserve"> </w:t>
      </w:r>
      <w:r>
        <w:rPr>
          <w:rFonts w:ascii="Arial" w:hAnsi="Arial" w:cs="Arial"/>
        </w:rPr>
        <w:tab/>
      </w:r>
    </w:p>
    <w:p w14:paraId="0D65B7EC" w14:textId="77777777" w:rsidR="00F11B83" w:rsidRPr="00B66437" w:rsidRDefault="00F11B83" w:rsidP="00F11B83">
      <w:pPr>
        <w:spacing w:after="0" w:line="480" w:lineRule="auto"/>
        <w:rPr>
          <w:rFonts w:ascii="Arial" w:hAnsi="Arial" w:cs="Arial"/>
          <w:b/>
          <w:bCs/>
        </w:rPr>
      </w:pPr>
      <w:r>
        <w:rPr>
          <w:rFonts w:ascii="Arial" w:hAnsi="Arial" w:cs="Arial"/>
          <w:b/>
          <w:bCs/>
        </w:rPr>
        <w:t>Procedures</w:t>
      </w:r>
    </w:p>
    <w:p w14:paraId="124D944E" w14:textId="4C76DAD5" w:rsidR="00F11B83" w:rsidRDefault="00F11B83" w:rsidP="00F11B83">
      <w:pPr>
        <w:spacing w:after="0" w:line="480" w:lineRule="auto"/>
        <w:ind w:firstLine="720"/>
        <w:rPr>
          <w:rFonts w:ascii="Arial" w:hAnsi="Arial" w:cs="Arial"/>
        </w:rPr>
      </w:pPr>
      <w:r w:rsidRPr="00980E14">
        <w:rPr>
          <w:rFonts w:ascii="Arial" w:hAnsi="Arial" w:cs="Arial"/>
        </w:rPr>
        <w:lastRenderedPageBreak/>
        <w:t>This study reports a secondary analysis of a previously published randomized clinical trial</w:t>
      </w:r>
      <w:r w:rsidR="00E0327B">
        <w:rPr>
          <w:rFonts w:ascii="Arial" w:hAnsi="Arial" w:cs="Arial"/>
        </w:rPr>
        <w:t xml:space="preserve"> (Diefenbach et al., 2024).</w:t>
      </w:r>
      <w:r w:rsidRPr="00980E14">
        <w:rPr>
          <w:rFonts w:ascii="Arial" w:hAnsi="Arial" w:cs="Arial"/>
        </w:rPr>
        <w:t xml:space="preserve"> Consolidated Standards of Reporting Trials (CONSORT) reporting guidelines were followed. The study protocol and CONSORT flow diagram are published elsewhere</w:t>
      </w:r>
      <w:r w:rsidR="00E0327B">
        <w:rPr>
          <w:rFonts w:ascii="Arial" w:hAnsi="Arial" w:cs="Arial"/>
        </w:rPr>
        <w:t xml:space="preserve"> (Diefenbach et al., 2024).</w:t>
      </w:r>
      <w:r w:rsidRPr="00980E14">
        <w:rPr>
          <w:rFonts w:ascii="Arial" w:hAnsi="Arial" w:cs="Arial"/>
        </w:rPr>
        <w:t xml:space="preserve"> </w:t>
      </w:r>
      <w:r>
        <w:rPr>
          <w:rFonts w:ascii="Arial" w:hAnsi="Arial" w:cs="Arial"/>
        </w:rPr>
        <w:t>Participants</w:t>
      </w:r>
      <w:r w:rsidRPr="00980E14">
        <w:rPr>
          <w:rFonts w:ascii="Arial" w:hAnsi="Arial" w:cs="Arial"/>
        </w:rPr>
        <w:t xml:space="preserve"> provided written informed consent after receiving a complete description of the study. Medical records of psychiatric inpatient admissions were reviewed, and eligibility criteria were confirmed with attending psychiatrists prior to recruitment</w:t>
      </w:r>
      <w:r>
        <w:rPr>
          <w:rFonts w:ascii="Arial" w:hAnsi="Arial" w:cs="Arial"/>
        </w:rPr>
        <w:t xml:space="preserve">. </w:t>
      </w:r>
      <w:r w:rsidRPr="00980E14">
        <w:rPr>
          <w:rFonts w:ascii="Arial" w:hAnsi="Arial" w:cs="Arial"/>
        </w:rPr>
        <w:t>Follow-up clinician-rated assessments</w:t>
      </w:r>
      <w:r>
        <w:rPr>
          <w:rFonts w:ascii="Arial" w:hAnsi="Arial" w:cs="Arial"/>
        </w:rPr>
        <w:t xml:space="preserve"> </w:t>
      </w:r>
      <w:r w:rsidRPr="00980E14">
        <w:rPr>
          <w:rFonts w:ascii="Arial" w:hAnsi="Arial" w:cs="Arial"/>
        </w:rPr>
        <w:t xml:space="preserve">were completed monthly for six months by licensed psychologists who were blind to treatment condition. EMR reviews were completed for the entire study duration (if not withdrawn). Participants were reimbursed up to $50 for each follow-up assessment. </w:t>
      </w:r>
    </w:p>
    <w:p w14:paraId="453F3752" w14:textId="4418BF2A" w:rsidR="00F11B83" w:rsidRPr="000D6E5D" w:rsidRDefault="00F11B83" w:rsidP="00F11B83">
      <w:pPr>
        <w:spacing w:after="0" w:line="480" w:lineRule="auto"/>
        <w:ind w:firstLine="720"/>
        <w:rPr>
          <w:rFonts w:ascii="Arial" w:hAnsi="Arial" w:cs="Arial"/>
        </w:rPr>
      </w:pPr>
      <w:r>
        <w:rPr>
          <w:rFonts w:ascii="Arial" w:hAnsi="Arial" w:cs="Arial"/>
        </w:rPr>
        <w:t>Given variability in follow-up completion</w:t>
      </w:r>
      <w:r w:rsidR="00187AE6">
        <w:rPr>
          <w:rFonts w:ascii="Arial" w:hAnsi="Arial" w:cs="Arial"/>
        </w:rPr>
        <w:t xml:space="preserve"> rates</w:t>
      </w:r>
      <w:r>
        <w:rPr>
          <w:rFonts w:ascii="Arial" w:hAnsi="Arial" w:cs="Arial"/>
        </w:rPr>
        <w:t xml:space="preserve">, a series of analysis were completed, with the first using the two traditional indicators of treatment response (suicidal ideation and suicide attempts) as both single indicators and paired indicators of treatment response, followed by an analysis using indicators from all three domains. For the analysis using two indicators, the sample was N=143 (BCBT </w:t>
      </w:r>
      <w:r w:rsidRPr="00E9427F">
        <w:rPr>
          <w:rFonts w:ascii="Arial" w:hAnsi="Arial" w:cs="Arial"/>
          <w:i/>
        </w:rPr>
        <w:t>n</w:t>
      </w:r>
      <w:r>
        <w:rPr>
          <w:rFonts w:ascii="Arial" w:hAnsi="Arial" w:cs="Arial"/>
        </w:rPr>
        <w:t xml:space="preserve"> = 67, TAU </w:t>
      </w:r>
      <w:r w:rsidRPr="00E9427F">
        <w:rPr>
          <w:rFonts w:ascii="Arial" w:hAnsi="Arial" w:cs="Arial"/>
          <w:i/>
        </w:rPr>
        <w:t>n</w:t>
      </w:r>
      <w:r>
        <w:rPr>
          <w:rFonts w:ascii="Arial" w:hAnsi="Arial" w:cs="Arial"/>
        </w:rPr>
        <w:t xml:space="preserve"> =76) and for three indicators, N=90 (BCBT </w:t>
      </w:r>
      <w:r w:rsidRPr="00E9427F">
        <w:rPr>
          <w:rFonts w:ascii="Arial" w:hAnsi="Arial" w:cs="Arial"/>
          <w:i/>
        </w:rPr>
        <w:t>n</w:t>
      </w:r>
      <w:r>
        <w:rPr>
          <w:rFonts w:ascii="Arial" w:hAnsi="Arial" w:cs="Arial"/>
        </w:rPr>
        <w:t xml:space="preserve"> = 42, TAU </w:t>
      </w:r>
      <w:r w:rsidRPr="00E9427F">
        <w:rPr>
          <w:rFonts w:ascii="Arial" w:hAnsi="Arial" w:cs="Arial"/>
          <w:i/>
        </w:rPr>
        <w:t>n</w:t>
      </w:r>
      <w:r>
        <w:rPr>
          <w:rFonts w:ascii="Arial" w:hAnsi="Arial" w:cs="Arial"/>
        </w:rPr>
        <w:t xml:space="preserve"> =48), with balanced representation across treatment conditions in both subsamples and no identified differences in participant demographics or clinical characteristics</w:t>
      </w:r>
      <w:r w:rsidR="003B2C26">
        <w:rPr>
          <w:rFonts w:ascii="Arial" w:hAnsi="Arial" w:cs="Arial"/>
        </w:rPr>
        <w:t xml:space="preserve"> at intake</w:t>
      </w:r>
      <w:r>
        <w:rPr>
          <w:rFonts w:ascii="Arial" w:hAnsi="Arial" w:cs="Arial"/>
        </w:rPr>
        <w:t xml:space="preserve">.  </w:t>
      </w:r>
    </w:p>
    <w:p w14:paraId="253A2D77" w14:textId="77777777" w:rsidR="00F11B83" w:rsidRPr="00514F8D" w:rsidRDefault="00F11B83" w:rsidP="00F11B83">
      <w:pPr>
        <w:spacing w:after="0" w:line="480" w:lineRule="auto"/>
        <w:rPr>
          <w:rFonts w:ascii="Arial" w:hAnsi="Arial" w:cs="Arial"/>
        </w:rPr>
      </w:pPr>
      <w:r>
        <w:rPr>
          <w:rFonts w:ascii="Arial" w:hAnsi="Arial" w:cs="Arial"/>
        </w:rPr>
        <w:t xml:space="preserve"> </w:t>
      </w:r>
    </w:p>
    <w:p w14:paraId="43EEFE8E" w14:textId="77777777" w:rsidR="00F11B83" w:rsidRDefault="00F11B83" w:rsidP="00F11B83">
      <w:pPr>
        <w:spacing w:line="480" w:lineRule="auto"/>
        <w:rPr>
          <w:rFonts w:ascii="Arial" w:hAnsi="Arial" w:cs="Arial"/>
          <w:b/>
          <w:bCs/>
        </w:rPr>
      </w:pPr>
      <w:r w:rsidRPr="00980E14">
        <w:rPr>
          <w:rFonts w:ascii="Arial" w:hAnsi="Arial" w:cs="Arial"/>
          <w:b/>
          <w:bCs/>
        </w:rPr>
        <w:t>Results</w:t>
      </w:r>
    </w:p>
    <w:p w14:paraId="42A85CA3" w14:textId="755E565E" w:rsidR="00F11B83" w:rsidRDefault="00F11B83" w:rsidP="00F11B83">
      <w:pPr>
        <w:spacing w:line="480" w:lineRule="auto"/>
        <w:rPr>
          <w:rFonts w:ascii="Arial" w:hAnsi="Arial" w:cs="Arial"/>
        </w:rPr>
      </w:pPr>
      <w:r>
        <w:rPr>
          <w:rFonts w:ascii="Arial" w:hAnsi="Arial" w:cs="Arial"/>
          <w:b/>
          <w:bCs/>
        </w:rPr>
        <w:tab/>
      </w:r>
      <w:r>
        <w:rPr>
          <w:rFonts w:ascii="Arial" w:hAnsi="Arial" w:cs="Arial"/>
        </w:rPr>
        <w:t xml:space="preserve">Table 1 includes the treatment response and non-response rates across both sets of analyses, using two and three outcome domains. The overall </w:t>
      </w:r>
      <w:r w:rsidR="00D43B25">
        <w:rPr>
          <w:rFonts w:ascii="Arial" w:hAnsi="Arial" w:cs="Arial"/>
        </w:rPr>
        <w:t xml:space="preserve">positive </w:t>
      </w:r>
      <w:r>
        <w:rPr>
          <w:rFonts w:ascii="Arial" w:hAnsi="Arial" w:cs="Arial"/>
        </w:rPr>
        <w:t xml:space="preserve">treatment </w:t>
      </w:r>
      <w:r>
        <w:rPr>
          <w:rFonts w:ascii="Arial" w:hAnsi="Arial" w:cs="Arial"/>
        </w:rPr>
        <w:lastRenderedPageBreak/>
        <w:t>response rate across both conditions was defined as significant improvement in at least one treatment outcome domain and was a surprising 86%, with the vast majority of individuals receiving inpatient care showing significant improvement during their stay</w:t>
      </w:r>
      <w:r w:rsidR="00D43B25">
        <w:rPr>
          <w:rFonts w:ascii="Arial" w:hAnsi="Arial" w:cs="Arial"/>
        </w:rPr>
        <w:t xml:space="preserve"> in at least one indicator</w:t>
      </w:r>
      <w:r>
        <w:rPr>
          <w:rFonts w:ascii="Arial" w:hAnsi="Arial" w:cs="Arial"/>
        </w:rPr>
        <w:t>. Comparisons between BCBT-I and TAU groups revealed that BCBT-I significantly improved overall positive treatment response and lowered treatment non-response rates across both sets of analyses. In the sample using the two traditional indicators of ideation and attempts, BCBT-I resulted in a significant lower treatment non-response rate (27% vs 46%) and significantly higher overall positive treatment response rate (73% vs 54%) (X</w:t>
      </w:r>
      <w:r>
        <w:rPr>
          <w:rFonts w:ascii="Arial" w:hAnsi="Arial" w:cs="Arial"/>
          <w:vertAlign w:val="superscript"/>
        </w:rPr>
        <w:t>2</w:t>
      </w:r>
      <w:r>
        <w:rPr>
          <w:rFonts w:ascii="Arial" w:hAnsi="Arial" w:cs="Arial"/>
        </w:rPr>
        <w:t>=5.69, p=.05). In the sample using indicators across all three domains, BCBT-I evidenced a significantly lower treatment non-response rate (7% vs 21%) and significantly higher positive treatment response rate (93% vs 79%) (X</w:t>
      </w:r>
      <w:r>
        <w:rPr>
          <w:rFonts w:ascii="Arial" w:hAnsi="Arial" w:cs="Arial"/>
          <w:vertAlign w:val="superscript"/>
        </w:rPr>
        <w:t>2</w:t>
      </w:r>
      <w:r>
        <w:rPr>
          <w:rFonts w:ascii="Arial" w:hAnsi="Arial" w:cs="Arial"/>
        </w:rPr>
        <w:t>=6.68, p=.03).</w:t>
      </w:r>
    </w:p>
    <w:p w14:paraId="4FF6A4E4" w14:textId="77777777" w:rsidR="00F11B83" w:rsidRDefault="00F11B83" w:rsidP="00F11B83">
      <w:pPr>
        <w:spacing w:line="480" w:lineRule="auto"/>
        <w:rPr>
          <w:rFonts w:ascii="Arial" w:hAnsi="Arial" w:cs="Arial"/>
        </w:rPr>
      </w:pPr>
      <w:r>
        <w:rPr>
          <w:rFonts w:ascii="Arial" w:hAnsi="Arial" w:cs="Arial"/>
        </w:rPr>
        <w:tab/>
        <w:t xml:space="preserve">Table 2 includes mean comparisons of treatment responders (partial and full) and non-responders self-ratings of both the frequency of use and perceived helpfulness of the suicide specific interventions used in BCBT-I. Supplement 1 offers detailed descriptions of the BCBT-I treatment sessions and related suicide-specific interventions utilized in the RCT and included in Table 2. As detailed, both responders and non-responders utilized the suicide-specific interventions at comparable frequency over the course of follow-up, however, treatment responders (both partial and full) rated all suicide-specific interventions (crisis response planning, reasons for living, the survival kit, coping cards, and means restriction planning) as significantly more helpful than non-responders despite comparable frequency in use. All effect sizes were large. As </w:t>
      </w:r>
      <w:r>
        <w:rPr>
          <w:rFonts w:ascii="Arial" w:hAnsi="Arial" w:cs="Arial"/>
        </w:rPr>
        <w:lastRenderedPageBreak/>
        <w:t xml:space="preserve">evidenced in Table 2, mean helpfulness ratings uniformly increased across non-responders, partial responders to full responders. </w:t>
      </w:r>
    </w:p>
    <w:p w14:paraId="71067771" w14:textId="2C973316" w:rsidR="00874F1D" w:rsidRDefault="00F11B83" w:rsidP="00F11B83">
      <w:pPr>
        <w:spacing w:line="480" w:lineRule="auto"/>
        <w:rPr>
          <w:rFonts w:ascii="Arial" w:hAnsi="Arial" w:cs="Arial"/>
        </w:rPr>
      </w:pPr>
      <w:r>
        <w:rPr>
          <w:rFonts w:ascii="Arial" w:hAnsi="Arial" w:cs="Arial"/>
        </w:rPr>
        <w:tab/>
        <w:t xml:space="preserve">Finally, treatment responders and non-responders aggregated across both treatment conditions were compared across all intake measures, which included measures of impulsivity, stress, depression, anxiety, wish to live, wish to die, suicidal ideation, state and trait hopelessness, alcohol and drug use, distress tolerance, and a screening for borderline personality disorder.  For the purpose of efficiency, only significant differences are summarized. The full intake assessment battery for the original RCT is included in Supplement 1. Treatment responders and non-responders aggregated across both treatment conditions demonstrated no significant differences with respect to suicidal ideation, symptom measures (stress, anxiety, depression, alcohol and drug use, screening for borderline personality disorder), and wish to live. As summarized in Table 3, the few differences that emerged at intake revealed treatment non-responders scoring significantly higher than responders on wish to die, state and trait hopelessness, and impulsivity, all with medium effect sizes.  </w:t>
      </w:r>
    </w:p>
    <w:p w14:paraId="77B1E001" w14:textId="7BCC69A7" w:rsidR="00AC2061" w:rsidRPr="00E478D8" w:rsidRDefault="00AC2061" w:rsidP="008A1A40">
      <w:pPr>
        <w:spacing w:line="480" w:lineRule="auto"/>
        <w:ind w:firstLine="720"/>
        <w:rPr>
          <w:rFonts w:ascii="Arial" w:hAnsi="Arial" w:cs="Arial"/>
        </w:rPr>
      </w:pPr>
      <w:r w:rsidRPr="00E478D8">
        <w:rPr>
          <w:rFonts w:ascii="Arial" w:hAnsi="Arial" w:cs="Arial"/>
        </w:rPr>
        <w:t>A Kaplan-Meier survival analysis was conducted to compare the survival distributions between the treatment as usual and BCBT-I groups</w:t>
      </w:r>
      <w:r w:rsidR="008A1A40">
        <w:rPr>
          <w:rFonts w:ascii="Arial" w:hAnsi="Arial" w:cs="Arial"/>
        </w:rPr>
        <w:t>, exploring</w:t>
      </w:r>
      <w:r w:rsidR="00401255">
        <w:rPr>
          <w:rFonts w:ascii="Arial" w:hAnsi="Arial" w:cs="Arial"/>
        </w:rPr>
        <w:t xml:space="preserve"> potential</w:t>
      </w:r>
      <w:r w:rsidR="008A1A40">
        <w:rPr>
          <w:rFonts w:ascii="Arial" w:hAnsi="Arial" w:cs="Arial"/>
        </w:rPr>
        <w:t xml:space="preserve"> implications of treatment non-response</w:t>
      </w:r>
      <w:r w:rsidR="009C0890">
        <w:rPr>
          <w:rFonts w:ascii="Arial" w:hAnsi="Arial" w:cs="Arial"/>
        </w:rPr>
        <w:t xml:space="preserve"> (indicated by suicide attempt)</w:t>
      </w:r>
      <w:r w:rsidR="008A1A40">
        <w:rPr>
          <w:rFonts w:ascii="Arial" w:hAnsi="Arial" w:cs="Arial"/>
        </w:rPr>
        <w:t xml:space="preserve"> over time</w:t>
      </w:r>
      <w:r w:rsidR="004A1664">
        <w:rPr>
          <w:rFonts w:ascii="Arial" w:hAnsi="Arial" w:cs="Arial"/>
        </w:rPr>
        <w:t xml:space="preserve"> across the two groups</w:t>
      </w:r>
      <w:r w:rsidRPr="00E478D8">
        <w:rPr>
          <w:rFonts w:ascii="Arial" w:hAnsi="Arial" w:cs="Arial"/>
        </w:rPr>
        <w:t>. </w:t>
      </w:r>
      <w:r w:rsidR="00401255">
        <w:rPr>
          <w:rFonts w:ascii="Arial" w:hAnsi="Arial" w:cs="Arial"/>
        </w:rPr>
        <w:t>In other words, how quickly do non-responders engage in suicide attempts post-discharge</w:t>
      </w:r>
      <w:r w:rsidR="004A1664">
        <w:rPr>
          <w:rFonts w:ascii="Arial" w:hAnsi="Arial" w:cs="Arial"/>
        </w:rPr>
        <w:t xml:space="preserve"> across BCBT-I and TAU groups</w:t>
      </w:r>
      <w:r w:rsidR="00401255">
        <w:rPr>
          <w:rFonts w:ascii="Arial" w:hAnsi="Arial" w:cs="Arial"/>
        </w:rPr>
        <w:t xml:space="preserve">? </w:t>
      </w:r>
      <w:r>
        <w:rPr>
          <w:rFonts w:ascii="Arial" w:hAnsi="Arial" w:cs="Arial"/>
        </w:rPr>
        <w:t xml:space="preserve">The corresponding hazard function is provided in Figure </w:t>
      </w:r>
      <w:r w:rsidR="008A1A40">
        <w:rPr>
          <w:rFonts w:ascii="Arial" w:hAnsi="Arial" w:cs="Arial"/>
        </w:rPr>
        <w:t>1</w:t>
      </w:r>
      <w:r>
        <w:rPr>
          <w:rFonts w:ascii="Arial" w:hAnsi="Arial" w:cs="Arial"/>
        </w:rPr>
        <w:t xml:space="preserve">. </w:t>
      </w:r>
      <w:r w:rsidRPr="00E478D8">
        <w:rPr>
          <w:rFonts w:ascii="Arial" w:hAnsi="Arial" w:cs="Arial"/>
        </w:rPr>
        <w:t xml:space="preserve">The case processing summary indicated that out of the 100 individuals in the TAU group, 33 made suicide attempts during </w:t>
      </w:r>
      <w:r>
        <w:rPr>
          <w:rFonts w:ascii="Arial" w:hAnsi="Arial" w:cs="Arial"/>
        </w:rPr>
        <w:t xml:space="preserve">the </w:t>
      </w:r>
      <w:r w:rsidRPr="00E478D8">
        <w:rPr>
          <w:rFonts w:ascii="Arial" w:hAnsi="Arial" w:cs="Arial"/>
        </w:rPr>
        <w:t xml:space="preserve">post-discharge six-month follow-up window, with 67 (67%) </w:t>
      </w:r>
      <w:r>
        <w:rPr>
          <w:rFonts w:ascii="Arial" w:hAnsi="Arial" w:cs="Arial"/>
        </w:rPr>
        <w:t>attempt-free</w:t>
      </w:r>
      <w:r w:rsidRPr="00E478D8">
        <w:rPr>
          <w:rFonts w:ascii="Arial" w:hAnsi="Arial" w:cs="Arial"/>
        </w:rPr>
        <w:t xml:space="preserve">. In contrast, there were 15 </w:t>
      </w:r>
      <w:r w:rsidRPr="00E478D8">
        <w:rPr>
          <w:rFonts w:ascii="Arial" w:hAnsi="Arial" w:cs="Arial"/>
        </w:rPr>
        <w:lastRenderedPageBreak/>
        <w:t>individuals in the BCBT-I group</w:t>
      </w:r>
      <w:r>
        <w:rPr>
          <w:rFonts w:ascii="Arial" w:hAnsi="Arial" w:cs="Arial"/>
        </w:rPr>
        <w:t xml:space="preserve"> (N=92)</w:t>
      </w:r>
      <w:r w:rsidRPr="00E478D8">
        <w:rPr>
          <w:rFonts w:ascii="Arial" w:hAnsi="Arial" w:cs="Arial"/>
        </w:rPr>
        <w:t xml:space="preserve"> that made a suicide attempt during the post-discharge follow-up window, with 77 (83.7%) </w:t>
      </w:r>
      <w:r>
        <w:rPr>
          <w:rFonts w:ascii="Arial" w:hAnsi="Arial" w:cs="Arial"/>
        </w:rPr>
        <w:t>attempt-free at six</w:t>
      </w:r>
      <w:r w:rsidR="008A1A40">
        <w:rPr>
          <w:rFonts w:ascii="Arial" w:hAnsi="Arial" w:cs="Arial"/>
        </w:rPr>
        <w:t xml:space="preserve"> </w:t>
      </w:r>
      <w:r>
        <w:rPr>
          <w:rFonts w:ascii="Arial" w:hAnsi="Arial" w:cs="Arial"/>
        </w:rPr>
        <w:t>months post-discharge</w:t>
      </w:r>
      <w:r w:rsidRPr="00E478D8">
        <w:rPr>
          <w:rFonts w:ascii="Arial" w:hAnsi="Arial" w:cs="Arial"/>
        </w:rPr>
        <w:t xml:space="preserve">. Overall survival times were estimated for both groups. For the TAU group, the mean survival time was </w:t>
      </w:r>
      <w:r w:rsidR="009C0890">
        <w:rPr>
          <w:rFonts w:ascii="Arial" w:hAnsi="Arial" w:cs="Arial"/>
        </w:rPr>
        <w:t xml:space="preserve">significantly less at </w:t>
      </w:r>
      <w:r w:rsidRPr="00E478D8">
        <w:rPr>
          <w:rFonts w:ascii="Arial" w:hAnsi="Arial" w:cs="Arial"/>
        </w:rPr>
        <w:t>64.5 days (SE=6.84, 95% CI [51.1, 77.9], with a median survival time of 56 days (SE=11.2, 95% CI [34.0, 78]. In the BCBT-I group</w:t>
      </w:r>
      <w:r>
        <w:rPr>
          <w:rFonts w:ascii="Arial" w:hAnsi="Arial" w:cs="Arial"/>
        </w:rPr>
        <w:t>,</w:t>
      </w:r>
      <w:r w:rsidRPr="00E478D8">
        <w:rPr>
          <w:rFonts w:ascii="Arial" w:hAnsi="Arial" w:cs="Arial"/>
        </w:rPr>
        <w:t xml:space="preserve"> the mean survival time was 98.9 days (SE=13.35, 95% CI [72.8, 125.1], with a median survival time of 84 days (SE=36.1, 95% CI [13.3, 154.7].</w:t>
      </w:r>
    </w:p>
    <w:p w14:paraId="05C69A7A" w14:textId="48708D50" w:rsidR="00E0327B" w:rsidRPr="00F408B5" w:rsidRDefault="00AC2061" w:rsidP="00F408B5">
      <w:pPr>
        <w:spacing w:line="480" w:lineRule="auto"/>
        <w:ind w:firstLine="720"/>
        <w:rPr>
          <w:rFonts w:ascii="Arial" w:hAnsi="Arial" w:cs="Arial"/>
        </w:rPr>
      </w:pPr>
      <w:r w:rsidRPr="00E478D8">
        <w:rPr>
          <w:rFonts w:ascii="Arial" w:hAnsi="Arial" w:cs="Arial"/>
        </w:rPr>
        <w:t>The log-rank (Mantel-Cox) test was used to examine the equality of survival distributions between the TAU and BCBT-I groups, with results indicating significantly longer survival time among those in the BCBT-I group X2 (1)=5.71, p=.017. Additionally, Breslow (Generalized Wilcoxon) (X2 (1)=4.75, p=.029) and Tarone-Ware (X2 (1)=5.31, p=.021 tests confirmed survival differences between TAU and BCBT-I</w:t>
      </w:r>
      <w:r>
        <w:rPr>
          <w:rFonts w:ascii="Arial" w:hAnsi="Arial" w:cs="Arial"/>
        </w:rPr>
        <w:t>, with significantly longer mean survival times for those in the BCBT-I group.</w:t>
      </w:r>
      <w:r w:rsidR="00401255">
        <w:rPr>
          <w:rFonts w:ascii="Arial" w:hAnsi="Arial" w:cs="Arial"/>
        </w:rPr>
        <w:t xml:space="preserve"> </w:t>
      </w:r>
      <w:r w:rsidR="009C0890">
        <w:rPr>
          <w:rFonts w:ascii="Arial" w:hAnsi="Arial" w:cs="Arial"/>
        </w:rPr>
        <w:t xml:space="preserve">In short, when there was poor response to treatment, </w:t>
      </w:r>
      <w:r w:rsidR="003A3590">
        <w:rPr>
          <w:rFonts w:ascii="Arial" w:hAnsi="Arial" w:cs="Arial"/>
        </w:rPr>
        <w:t>suicide attempts</w:t>
      </w:r>
      <w:r w:rsidR="009C0890">
        <w:rPr>
          <w:rFonts w:ascii="Arial" w:hAnsi="Arial" w:cs="Arial"/>
        </w:rPr>
        <w:t xml:space="preserve"> occurred significantly quicker in TAU as compared to BCBT-I. </w:t>
      </w:r>
      <w:r>
        <w:rPr>
          <w:rFonts w:ascii="Arial" w:hAnsi="Arial" w:cs="Arial"/>
        </w:rPr>
        <w:t xml:space="preserve">Figure </w:t>
      </w:r>
      <w:r w:rsidR="00401255">
        <w:rPr>
          <w:rFonts w:ascii="Arial" w:hAnsi="Arial" w:cs="Arial"/>
        </w:rPr>
        <w:t>2</w:t>
      </w:r>
      <w:r>
        <w:rPr>
          <w:rFonts w:ascii="Arial" w:hAnsi="Arial" w:cs="Arial"/>
        </w:rPr>
        <w:t xml:space="preserve"> provides the distribution of time to attempt and the corresponding attempt-free probabilities at each </w:t>
      </w:r>
      <w:r w:rsidR="003A3590">
        <w:rPr>
          <w:rFonts w:ascii="Arial" w:hAnsi="Arial" w:cs="Arial"/>
        </w:rPr>
        <w:t xml:space="preserve">monthly </w:t>
      </w:r>
      <w:r>
        <w:rPr>
          <w:rFonts w:ascii="Arial" w:hAnsi="Arial" w:cs="Arial"/>
        </w:rPr>
        <w:t xml:space="preserve">follow-up point, offering additional clarity to the differences confirmed in the survival functions for the BCBT-Inpatient and TAU groups. As illustrated, significant differences between the groups emerged immediately at the first post-discharge assessment and not only were differences maintained over the six-month follow-up period, but actually grew, with 84% of the BCBT-I attempt-free after six months in comparison to 67% of the TAU group, consistent with improved post-discharge functioning secondary to BCBT-I suicide prevention care.  </w:t>
      </w:r>
    </w:p>
    <w:p w14:paraId="6F14748C" w14:textId="3F8FAC02" w:rsidR="00F11B83" w:rsidRDefault="00F11B83" w:rsidP="001E449F">
      <w:pPr>
        <w:spacing w:line="480" w:lineRule="auto"/>
        <w:jc w:val="center"/>
        <w:rPr>
          <w:rFonts w:ascii="Arial" w:hAnsi="Arial" w:cs="Arial"/>
          <w:b/>
          <w:bCs/>
        </w:rPr>
      </w:pPr>
      <w:r>
        <w:rPr>
          <w:rFonts w:ascii="Arial" w:hAnsi="Arial" w:cs="Arial"/>
          <w:b/>
          <w:bCs/>
        </w:rPr>
        <w:lastRenderedPageBreak/>
        <w:t>Discussion</w:t>
      </w:r>
    </w:p>
    <w:p w14:paraId="7822E4BD" w14:textId="02F55D78" w:rsidR="00874F1D" w:rsidRDefault="00526E0A" w:rsidP="002A6DCD">
      <w:pPr>
        <w:spacing w:line="480" w:lineRule="auto"/>
        <w:ind w:firstLine="720"/>
        <w:rPr>
          <w:rFonts w:ascii="Arial" w:hAnsi="Arial" w:cs="Arial"/>
        </w:rPr>
      </w:pPr>
      <w:r>
        <w:rPr>
          <w:rFonts w:ascii="Arial" w:hAnsi="Arial" w:cs="Arial"/>
        </w:rPr>
        <w:t>Voros et al. (2021) argued t</w:t>
      </w:r>
      <w:r w:rsidR="00C9197F">
        <w:rPr>
          <w:rFonts w:ascii="Arial" w:hAnsi="Arial" w:cs="Arial"/>
        </w:rPr>
        <w:t xml:space="preserve">hat </w:t>
      </w:r>
      <w:r w:rsidR="00B01FFB">
        <w:rPr>
          <w:rFonts w:ascii="Arial" w:hAnsi="Arial" w:cs="Arial"/>
        </w:rPr>
        <w:t xml:space="preserve">proposed </w:t>
      </w:r>
      <w:r>
        <w:rPr>
          <w:rFonts w:ascii="Arial" w:hAnsi="Arial" w:cs="Arial"/>
        </w:rPr>
        <w:t>suicide-specific syndromes, such as Acute Suicidal Affective Disturbance (Rogers et al., 2019) and Suicidal Crisis Syndrome (Galynker et al., 2024; 2025) represented an important “paradigm-shift” in the understanding, treatment, an</w:t>
      </w:r>
      <w:r w:rsidR="00C9197F">
        <w:rPr>
          <w:rFonts w:ascii="Arial" w:hAnsi="Arial" w:cs="Arial"/>
        </w:rPr>
        <w:t>d interpretation</w:t>
      </w:r>
      <w:r>
        <w:rPr>
          <w:rFonts w:ascii="Arial" w:hAnsi="Arial" w:cs="Arial"/>
        </w:rPr>
        <w:t xml:space="preserve"> of treatment response when targeting elevated suicide risk.</w:t>
      </w:r>
      <w:r w:rsidR="00C9197F">
        <w:rPr>
          <w:rFonts w:ascii="Arial" w:hAnsi="Arial" w:cs="Arial"/>
        </w:rPr>
        <w:t xml:space="preserve"> Given the complexity of suicidality, theoretical and conceptual models underlying various </w:t>
      </w:r>
      <w:r w:rsidR="003B6E9E">
        <w:rPr>
          <w:rFonts w:ascii="Arial" w:hAnsi="Arial" w:cs="Arial"/>
        </w:rPr>
        <w:t xml:space="preserve">suicide-specific </w:t>
      </w:r>
      <w:r w:rsidR="00C9197F">
        <w:rPr>
          <w:rFonts w:ascii="Arial" w:hAnsi="Arial" w:cs="Arial"/>
        </w:rPr>
        <w:t>treatments, such as BCBT</w:t>
      </w:r>
      <w:r w:rsidR="00D451CC">
        <w:rPr>
          <w:rFonts w:ascii="Arial" w:hAnsi="Arial" w:cs="Arial"/>
        </w:rPr>
        <w:t>-I</w:t>
      </w:r>
      <w:r w:rsidR="00C9197F">
        <w:rPr>
          <w:rFonts w:ascii="Arial" w:hAnsi="Arial" w:cs="Arial"/>
        </w:rPr>
        <w:t>, targ</w:t>
      </w:r>
      <w:r w:rsidR="002A6DCD">
        <w:rPr>
          <w:rFonts w:ascii="Arial" w:hAnsi="Arial" w:cs="Arial"/>
        </w:rPr>
        <w:t xml:space="preserve">et the suicidal mode, </w:t>
      </w:r>
      <w:r w:rsidR="00291BB6">
        <w:rPr>
          <w:rFonts w:ascii="Arial" w:hAnsi="Arial" w:cs="Arial"/>
        </w:rPr>
        <w:t xml:space="preserve">which is </w:t>
      </w:r>
      <w:r w:rsidR="002A6DCD">
        <w:rPr>
          <w:rFonts w:ascii="Arial" w:hAnsi="Arial" w:cs="Arial"/>
        </w:rPr>
        <w:t>comprised of a collection of cognitive, affective/emotional, motivational, somatic/physical/behavioral symptoms, consistent with a suicide-specific syndrome (Rudd, 2000). Despite targeting a constellation of suicide specific symptoms,</w:t>
      </w:r>
      <w:r w:rsidR="00291BB6">
        <w:rPr>
          <w:rFonts w:ascii="Arial" w:hAnsi="Arial" w:cs="Arial"/>
        </w:rPr>
        <w:t xml:space="preserve"> </w:t>
      </w:r>
      <w:r w:rsidR="00C9197F">
        <w:rPr>
          <w:rFonts w:ascii="Arial" w:hAnsi="Arial" w:cs="Arial"/>
        </w:rPr>
        <w:t>randomized clinical trials targeting elevated suicidality routinely use only single outcome measures such as suicide attempts and</w:t>
      </w:r>
      <w:r w:rsidR="003B6E9E">
        <w:rPr>
          <w:rFonts w:ascii="Arial" w:hAnsi="Arial" w:cs="Arial"/>
        </w:rPr>
        <w:t>/or</w:t>
      </w:r>
      <w:r w:rsidR="00C9197F">
        <w:rPr>
          <w:rFonts w:ascii="Arial" w:hAnsi="Arial" w:cs="Arial"/>
        </w:rPr>
        <w:t xml:space="preserve"> suicidal ideation to assess </w:t>
      </w:r>
      <w:r w:rsidR="00B01FFB">
        <w:rPr>
          <w:rFonts w:ascii="Arial" w:hAnsi="Arial" w:cs="Arial"/>
        </w:rPr>
        <w:t xml:space="preserve">positive </w:t>
      </w:r>
      <w:r w:rsidR="00C9197F">
        <w:rPr>
          <w:rFonts w:ascii="Arial" w:hAnsi="Arial" w:cs="Arial"/>
        </w:rPr>
        <w:t xml:space="preserve">treatment </w:t>
      </w:r>
      <w:r w:rsidR="00C9197F" w:rsidRPr="000A7937">
        <w:rPr>
          <w:rFonts w:ascii="Arial" w:hAnsi="Arial" w:cs="Arial"/>
        </w:rPr>
        <w:t>response (van Ballegooijen et al., 2025)</w:t>
      </w:r>
      <w:r w:rsidR="00E04FE8">
        <w:rPr>
          <w:rFonts w:ascii="Arial" w:hAnsi="Arial" w:cs="Arial"/>
        </w:rPr>
        <w:t xml:space="preserve">, making it difficult to gauge the true impact of </w:t>
      </w:r>
      <w:r w:rsidR="003B6E9E">
        <w:rPr>
          <w:rFonts w:ascii="Arial" w:hAnsi="Arial" w:cs="Arial"/>
        </w:rPr>
        <w:t xml:space="preserve">direct (i.e., suicide specific) </w:t>
      </w:r>
      <w:r w:rsidR="00D451CC">
        <w:rPr>
          <w:rFonts w:ascii="Arial" w:hAnsi="Arial" w:cs="Arial"/>
        </w:rPr>
        <w:t>versus</w:t>
      </w:r>
      <w:r w:rsidR="003B6E9E">
        <w:rPr>
          <w:rFonts w:ascii="Arial" w:hAnsi="Arial" w:cs="Arial"/>
        </w:rPr>
        <w:t xml:space="preserve"> indirect psychotherapies</w:t>
      </w:r>
      <w:r w:rsidR="00C9197F" w:rsidRPr="000A7937">
        <w:rPr>
          <w:rFonts w:ascii="Arial" w:hAnsi="Arial" w:cs="Arial"/>
        </w:rPr>
        <w:t xml:space="preserve">. </w:t>
      </w:r>
      <w:r w:rsidR="002A6DCD">
        <w:rPr>
          <w:rFonts w:ascii="Arial" w:hAnsi="Arial" w:cs="Arial"/>
        </w:rPr>
        <w:t>For the current study, we evaluated syndrome</w:t>
      </w:r>
      <w:r w:rsidR="003B6E9E">
        <w:rPr>
          <w:rFonts w:ascii="Arial" w:hAnsi="Arial" w:cs="Arial"/>
        </w:rPr>
        <w:t>-</w:t>
      </w:r>
      <w:r w:rsidR="002A6DCD">
        <w:rPr>
          <w:rFonts w:ascii="Arial" w:hAnsi="Arial" w:cs="Arial"/>
        </w:rPr>
        <w:t xml:space="preserve">level change, </w:t>
      </w:r>
      <w:r w:rsidR="003B6E9E">
        <w:rPr>
          <w:rFonts w:ascii="Arial" w:hAnsi="Arial" w:cs="Arial"/>
        </w:rPr>
        <w:t xml:space="preserve">including </w:t>
      </w:r>
      <w:r w:rsidR="002A6DCD">
        <w:rPr>
          <w:rFonts w:ascii="Arial" w:hAnsi="Arial" w:cs="Arial"/>
        </w:rPr>
        <w:t>both partial and full response, across cognitive, affective, and behavioral domains</w:t>
      </w:r>
      <w:r w:rsidR="00E04FE8">
        <w:rPr>
          <w:rFonts w:ascii="Arial" w:hAnsi="Arial" w:cs="Arial"/>
        </w:rPr>
        <w:t xml:space="preserve"> for those hospitalized for elevated suicide risk</w:t>
      </w:r>
      <w:r w:rsidR="002A6DCD">
        <w:rPr>
          <w:rFonts w:ascii="Arial" w:hAnsi="Arial" w:cs="Arial"/>
        </w:rPr>
        <w:t xml:space="preserve">. </w:t>
      </w:r>
    </w:p>
    <w:p w14:paraId="730BD5C8" w14:textId="71FA1929" w:rsidR="00073FE5" w:rsidRDefault="00291BB6" w:rsidP="002A6DCD">
      <w:pPr>
        <w:spacing w:line="480" w:lineRule="auto"/>
        <w:ind w:firstLine="720"/>
        <w:rPr>
          <w:rFonts w:ascii="Arial" w:hAnsi="Arial" w:cs="Arial"/>
        </w:rPr>
      </w:pPr>
      <w:r>
        <w:rPr>
          <w:rFonts w:ascii="Arial" w:hAnsi="Arial" w:cs="Arial"/>
        </w:rPr>
        <w:t>Current findings demonstrated that BCBT-I</w:t>
      </w:r>
      <w:r w:rsidR="003B6E9E">
        <w:rPr>
          <w:rFonts w:ascii="Arial" w:hAnsi="Arial" w:cs="Arial"/>
        </w:rPr>
        <w:t xml:space="preserve">, a suicide specific treatment, </w:t>
      </w:r>
      <w:r>
        <w:rPr>
          <w:rFonts w:ascii="Arial" w:hAnsi="Arial" w:cs="Arial"/>
        </w:rPr>
        <w:t>was more effective</w:t>
      </w:r>
      <w:r w:rsidR="00021253">
        <w:rPr>
          <w:rFonts w:ascii="Arial" w:hAnsi="Arial" w:cs="Arial"/>
        </w:rPr>
        <w:t xml:space="preserve"> across multiple outcome domains</w:t>
      </w:r>
      <w:r>
        <w:rPr>
          <w:rFonts w:ascii="Arial" w:hAnsi="Arial" w:cs="Arial"/>
        </w:rPr>
        <w:t>, both with respect to significantly improving full treatment response and lowering treatment non-response rates</w:t>
      </w:r>
      <w:r w:rsidR="00073FE5">
        <w:rPr>
          <w:rFonts w:ascii="Arial" w:hAnsi="Arial" w:cs="Arial"/>
        </w:rPr>
        <w:t xml:space="preserve"> (see Table 1)</w:t>
      </w:r>
      <w:r w:rsidR="000A5BB8">
        <w:rPr>
          <w:rFonts w:ascii="Arial" w:hAnsi="Arial" w:cs="Arial"/>
        </w:rPr>
        <w:t xml:space="preserve"> in comparison to TAU</w:t>
      </w:r>
      <w:r>
        <w:rPr>
          <w:rFonts w:ascii="Arial" w:hAnsi="Arial" w:cs="Arial"/>
        </w:rPr>
        <w:t>.</w:t>
      </w:r>
      <w:r w:rsidR="003B6E9E">
        <w:rPr>
          <w:rFonts w:ascii="Arial" w:hAnsi="Arial" w:cs="Arial"/>
        </w:rPr>
        <w:t xml:space="preserve"> Available data </w:t>
      </w:r>
      <w:r w:rsidR="000A5BB8">
        <w:rPr>
          <w:rFonts w:ascii="Arial" w:hAnsi="Arial" w:cs="Arial"/>
        </w:rPr>
        <w:t xml:space="preserve">also </w:t>
      </w:r>
      <w:r w:rsidR="003B6E9E">
        <w:rPr>
          <w:rFonts w:ascii="Arial" w:hAnsi="Arial" w:cs="Arial"/>
        </w:rPr>
        <w:t xml:space="preserve">indicate that both indirect (i.e., treatment as usual) and direct treatment approaches were helpful for the majority of those </w:t>
      </w:r>
      <w:r w:rsidR="000A5BB8">
        <w:rPr>
          <w:rFonts w:ascii="Arial" w:hAnsi="Arial" w:cs="Arial"/>
        </w:rPr>
        <w:t>receiving inpatient</w:t>
      </w:r>
      <w:r w:rsidR="003B6E9E">
        <w:rPr>
          <w:rFonts w:ascii="Arial" w:hAnsi="Arial" w:cs="Arial"/>
        </w:rPr>
        <w:t xml:space="preserve"> care, as indicated by a positive treatment response </w:t>
      </w:r>
      <w:r w:rsidR="000A5BB8">
        <w:rPr>
          <w:rFonts w:ascii="Arial" w:hAnsi="Arial" w:cs="Arial"/>
        </w:rPr>
        <w:t xml:space="preserve">across at </w:t>
      </w:r>
      <w:r w:rsidR="000A5BB8">
        <w:rPr>
          <w:rFonts w:ascii="Arial" w:hAnsi="Arial" w:cs="Arial"/>
        </w:rPr>
        <w:lastRenderedPageBreak/>
        <w:t>least one outcome domain</w:t>
      </w:r>
      <w:r w:rsidR="003B6E9E">
        <w:rPr>
          <w:rFonts w:ascii="Arial" w:hAnsi="Arial" w:cs="Arial"/>
        </w:rPr>
        <w:t xml:space="preserve">. With </w:t>
      </w:r>
      <w:r w:rsidR="00B437EB">
        <w:rPr>
          <w:rFonts w:ascii="Arial" w:hAnsi="Arial" w:cs="Arial"/>
        </w:rPr>
        <w:t>use of a multi-domain, syndrome-level approach to assessing outcome</w:t>
      </w:r>
      <w:r w:rsidR="00EE5983">
        <w:rPr>
          <w:rFonts w:ascii="Arial" w:hAnsi="Arial" w:cs="Arial"/>
        </w:rPr>
        <w:t xml:space="preserve"> and</w:t>
      </w:r>
      <w:r w:rsidR="003B6E9E">
        <w:rPr>
          <w:rFonts w:ascii="Arial" w:hAnsi="Arial" w:cs="Arial"/>
        </w:rPr>
        <w:t xml:space="preserve"> treatment response (requiring significant change across all three domains), BCBT-I almost doubled the </w:t>
      </w:r>
      <w:r w:rsidR="0018607C">
        <w:rPr>
          <w:rFonts w:ascii="Arial" w:hAnsi="Arial" w:cs="Arial"/>
        </w:rPr>
        <w:t xml:space="preserve">full treatment </w:t>
      </w:r>
      <w:r w:rsidR="003B6E9E">
        <w:rPr>
          <w:rFonts w:ascii="Arial" w:hAnsi="Arial" w:cs="Arial"/>
        </w:rPr>
        <w:t>response rate (44% to 24%)</w:t>
      </w:r>
      <w:r w:rsidR="000A5BB8">
        <w:rPr>
          <w:rFonts w:ascii="Arial" w:hAnsi="Arial" w:cs="Arial"/>
        </w:rPr>
        <w:t xml:space="preserve"> relative to TAU</w:t>
      </w:r>
      <w:r w:rsidR="003B6E9E">
        <w:rPr>
          <w:rFonts w:ascii="Arial" w:hAnsi="Arial" w:cs="Arial"/>
        </w:rPr>
        <w:t xml:space="preserve">.  </w:t>
      </w:r>
      <w:r w:rsidR="00EF6CA7">
        <w:rPr>
          <w:rFonts w:ascii="Arial" w:hAnsi="Arial" w:cs="Arial"/>
        </w:rPr>
        <w:t>Consistent with the theoretical foundation of BCBT, e</w:t>
      </w:r>
      <w:r w:rsidR="003B6E9E">
        <w:rPr>
          <w:rFonts w:ascii="Arial" w:hAnsi="Arial" w:cs="Arial"/>
        </w:rPr>
        <w:t>xploring syndrome-level change would appear to reflect the more comprehensive change experienced by those receiving suicide-specific care</w:t>
      </w:r>
      <w:r w:rsidR="00EF6CA7">
        <w:rPr>
          <w:rFonts w:ascii="Arial" w:hAnsi="Arial" w:cs="Arial"/>
        </w:rPr>
        <w:t xml:space="preserve"> and is important to accurately capturing and exploring the nature of </w:t>
      </w:r>
      <w:r w:rsidR="00EE5983">
        <w:rPr>
          <w:rFonts w:ascii="Arial" w:hAnsi="Arial" w:cs="Arial"/>
        </w:rPr>
        <w:t xml:space="preserve">clinical </w:t>
      </w:r>
      <w:r w:rsidR="00EF6CA7">
        <w:rPr>
          <w:rFonts w:ascii="Arial" w:hAnsi="Arial" w:cs="Arial"/>
        </w:rPr>
        <w:t>change</w:t>
      </w:r>
      <w:r w:rsidR="000D4EDC">
        <w:rPr>
          <w:rFonts w:ascii="Arial" w:hAnsi="Arial" w:cs="Arial"/>
        </w:rPr>
        <w:t>.</w:t>
      </w:r>
      <w:r w:rsidR="0018607C">
        <w:rPr>
          <w:rFonts w:ascii="Arial" w:hAnsi="Arial" w:cs="Arial"/>
        </w:rPr>
        <w:t xml:space="preserve"> Of </w:t>
      </w:r>
      <w:r w:rsidR="00EE5983">
        <w:rPr>
          <w:rFonts w:ascii="Arial" w:hAnsi="Arial" w:cs="Arial"/>
        </w:rPr>
        <w:t>importan</w:t>
      </w:r>
      <w:r w:rsidR="0018607C">
        <w:rPr>
          <w:rFonts w:ascii="Arial" w:hAnsi="Arial" w:cs="Arial"/>
        </w:rPr>
        <w:t>ce</w:t>
      </w:r>
      <w:r w:rsidR="00EE5983">
        <w:rPr>
          <w:rFonts w:ascii="Arial" w:hAnsi="Arial" w:cs="Arial"/>
        </w:rPr>
        <w:t xml:space="preserve"> in this RCT</w:t>
      </w:r>
      <w:r w:rsidR="0018607C">
        <w:rPr>
          <w:rFonts w:ascii="Arial" w:hAnsi="Arial" w:cs="Arial"/>
        </w:rPr>
        <w:t xml:space="preserve">, all of those receiving inpatient care were admitted secondary </w:t>
      </w:r>
      <w:r w:rsidR="00093061">
        <w:rPr>
          <w:rFonts w:ascii="Arial" w:hAnsi="Arial" w:cs="Arial"/>
        </w:rPr>
        <w:t xml:space="preserve">to elevated suicide risk. </w:t>
      </w:r>
      <w:r w:rsidR="000D4EDC">
        <w:rPr>
          <w:rFonts w:ascii="Arial" w:hAnsi="Arial" w:cs="Arial"/>
        </w:rPr>
        <w:t xml:space="preserve"> </w:t>
      </w:r>
      <w:r w:rsidR="00093061">
        <w:rPr>
          <w:rFonts w:ascii="Arial" w:hAnsi="Arial" w:cs="Arial"/>
        </w:rPr>
        <w:t>The use of single or isolated outcome measures like suicide ideation or suicide attempts, may potentially underestimate the impact of suicide specific treatments</w:t>
      </w:r>
      <w:r w:rsidR="00EE5983">
        <w:rPr>
          <w:rFonts w:ascii="Arial" w:hAnsi="Arial" w:cs="Arial"/>
        </w:rPr>
        <w:t>, particularly when compared to TAU or indirect psychotherapies</w:t>
      </w:r>
      <w:r w:rsidR="00093061">
        <w:rPr>
          <w:rFonts w:ascii="Arial" w:hAnsi="Arial" w:cs="Arial"/>
        </w:rPr>
        <w:t xml:space="preserve">. </w:t>
      </w:r>
    </w:p>
    <w:p w14:paraId="392F9178" w14:textId="43D42B84" w:rsidR="00291BB6" w:rsidRDefault="00073FE5" w:rsidP="002A6DCD">
      <w:pPr>
        <w:spacing w:line="480" w:lineRule="auto"/>
        <w:ind w:firstLine="720"/>
        <w:rPr>
          <w:rFonts w:ascii="Arial" w:hAnsi="Arial" w:cs="Arial"/>
        </w:rPr>
      </w:pPr>
      <w:r>
        <w:rPr>
          <w:rFonts w:ascii="Arial" w:hAnsi="Arial" w:cs="Arial"/>
        </w:rPr>
        <w:t>Among those receiving BCBT-I, treatment responders and non-responders indicated using treatment components</w:t>
      </w:r>
      <w:r w:rsidR="003B6E9E">
        <w:rPr>
          <w:rFonts w:ascii="Arial" w:hAnsi="Arial" w:cs="Arial"/>
        </w:rPr>
        <w:t xml:space="preserve"> </w:t>
      </w:r>
      <w:r>
        <w:rPr>
          <w:rFonts w:ascii="Arial" w:hAnsi="Arial" w:cs="Arial"/>
        </w:rPr>
        <w:t xml:space="preserve">at similar frequences, while treatment responders rated the helpfulness of the various treatment components as significantly more helpful (see Table 2), including crisis response planning, survival kit, reasons for living, coping cards, and means restriction. </w:t>
      </w:r>
      <w:r w:rsidR="00F148E9">
        <w:rPr>
          <w:rFonts w:ascii="Arial" w:hAnsi="Arial" w:cs="Arial"/>
        </w:rPr>
        <w:t xml:space="preserve">Clearly those doing better post-discharge are likely to rate the use of targeted interventions as more helpful. This finding is not particularly surprising. </w:t>
      </w:r>
      <w:r>
        <w:rPr>
          <w:rFonts w:ascii="Arial" w:hAnsi="Arial" w:cs="Arial"/>
        </w:rPr>
        <w:t>The comparison of intake assessment differences across treatment responders and non-responders may well provide some insight into why suicide-specific interventions were helpful for some but not others, even when used at comparable frequencies</w:t>
      </w:r>
      <w:r w:rsidR="00A6387F">
        <w:rPr>
          <w:rFonts w:ascii="Arial" w:hAnsi="Arial" w:cs="Arial"/>
        </w:rPr>
        <w:t xml:space="preserve">. As summarized in Table 3, treatment non-responders reported significantly </w:t>
      </w:r>
      <w:r w:rsidR="000D04B3">
        <w:rPr>
          <w:rFonts w:ascii="Arial" w:hAnsi="Arial" w:cs="Arial"/>
        </w:rPr>
        <w:t xml:space="preserve">higher wish to die, hopelessness (both trait and state) and impulsivity when compared to treatment responders. It is possible that treatment non-responders </w:t>
      </w:r>
      <w:r w:rsidR="007F6929">
        <w:rPr>
          <w:rFonts w:ascii="Arial" w:hAnsi="Arial" w:cs="Arial"/>
        </w:rPr>
        <w:t xml:space="preserve">may </w:t>
      </w:r>
      <w:r w:rsidR="000D04B3">
        <w:rPr>
          <w:rFonts w:ascii="Arial" w:hAnsi="Arial" w:cs="Arial"/>
        </w:rPr>
        <w:lastRenderedPageBreak/>
        <w:t>require more targeted and prolonged intervention regarding suicidal ambivalence</w:t>
      </w:r>
      <w:r w:rsidR="001D2D7B">
        <w:rPr>
          <w:rFonts w:ascii="Arial" w:hAnsi="Arial" w:cs="Arial"/>
        </w:rPr>
        <w:t xml:space="preserve">, </w:t>
      </w:r>
      <w:r w:rsidR="000D04B3">
        <w:rPr>
          <w:rFonts w:ascii="Arial" w:hAnsi="Arial" w:cs="Arial"/>
        </w:rPr>
        <w:t>hopelessness</w:t>
      </w:r>
      <w:r w:rsidR="001D2D7B">
        <w:rPr>
          <w:rFonts w:ascii="Arial" w:hAnsi="Arial" w:cs="Arial"/>
        </w:rPr>
        <w:t>, and orientation to care</w:t>
      </w:r>
      <w:r w:rsidR="000D04B3">
        <w:rPr>
          <w:rFonts w:ascii="Arial" w:hAnsi="Arial" w:cs="Arial"/>
        </w:rPr>
        <w:t xml:space="preserve"> in order to benefit from suicide-specific interventions </w:t>
      </w:r>
      <w:r w:rsidR="00B0624D">
        <w:rPr>
          <w:rFonts w:ascii="Arial" w:hAnsi="Arial" w:cs="Arial"/>
        </w:rPr>
        <w:t xml:space="preserve">focused on </w:t>
      </w:r>
      <w:r w:rsidR="000D04B3">
        <w:rPr>
          <w:rFonts w:ascii="Arial" w:hAnsi="Arial" w:cs="Arial"/>
        </w:rPr>
        <w:t xml:space="preserve">improving individual emotional self-management during acute periods of elevated risk. </w:t>
      </w:r>
    </w:p>
    <w:p w14:paraId="6A976B63" w14:textId="633154F9" w:rsidR="00AE16A5" w:rsidRDefault="00AE16A5" w:rsidP="002A6DCD">
      <w:pPr>
        <w:spacing w:line="480" w:lineRule="auto"/>
        <w:ind w:firstLine="720"/>
        <w:rPr>
          <w:rFonts w:ascii="Arial" w:hAnsi="Arial" w:cs="Arial"/>
        </w:rPr>
      </w:pPr>
      <w:r>
        <w:rPr>
          <w:rFonts w:ascii="Arial" w:hAnsi="Arial" w:cs="Arial"/>
        </w:rPr>
        <w:tab/>
        <w:t xml:space="preserve">The survival analysis offers some insight into the emergence of problems over time for treatment non-responders across both TAU and BCBT-I groups, </w:t>
      </w:r>
      <w:r w:rsidR="00FD4555">
        <w:rPr>
          <w:rFonts w:ascii="Arial" w:hAnsi="Arial" w:cs="Arial"/>
        </w:rPr>
        <w:t xml:space="preserve">using </w:t>
      </w:r>
      <w:r>
        <w:rPr>
          <w:rFonts w:ascii="Arial" w:hAnsi="Arial" w:cs="Arial"/>
        </w:rPr>
        <w:t xml:space="preserve">the traditional outcome of suicide attempt. In short, current findings suggest that problems emerge significantly quicker </w:t>
      </w:r>
      <w:r w:rsidR="00941CA1">
        <w:rPr>
          <w:rFonts w:ascii="Arial" w:hAnsi="Arial" w:cs="Arial"/>
        </w:rPr>
        <w:t xml:space="preserve">post-discharge </w:t>
      </w:r>
      <w:r>
        <w:rPr>
          <w:rFonts w:ascii="Arial" w:hAnsi="Arial" w:cs="Arial"/>
        </w:rPr>
        <w:t>for non-responders in the TAU group relative to BCBT-I</w:t>
      </w:r>
      <w:r w:rsidR="00FD4555">
        <w:rPr>
          <w:rFonts w:ascii="Arial" w:hAnsi="Arial" w:cs="Arial"/>
        </w:rPr>
        <w:t xml:space="preserve"> and </w:t>
      </w:r>
      <w:r w:rsidR="00941CA1">
        <w:rPr>
          <w:rFonts w:ascii="Arial" w:hAnsi="Arial" w:cs="Arial"/>
        </w:rPr>
        <w:t>are distributed</w:t>
      </w:r>
      <w:r w:rsidR="00FD4555">
        <w:rPr>
          <w:rFonts w:ascii="Arial" w:hAnsi="Arial" w:cs="Arial"/>
        </w:rPr>
        <w:t xml:space="preserve"> over the entire follow-up period, with significantly longer mean survival time</w:t>
      </w:r>
      <w:r w:rsidR="00941CA1">
        <w:rPr>
          <w:rFonts w:ascii="Arial" w:hAnsi="Arial" w:cs="Arial"/>
        </w:rPr>
        <w:t xml:space="preserve"> for those receiving BCBT-I</w:t>
      </w:r>
      <w:r w:rsidR="00FD4555">
        <w:rPr>
          <w:rFonts w:ascii="Arial" w:hAnsi="Arial" w:cs="Arial"/>
        </w:rPr>
        <w:t xml:space="preserve"> </w:t>
      </w:r>
      <w:r w:rsidR="00941CA1">
        <w:rPr>
          <w:rFonts w:ascii="Arial" w:hAnsi="Arial" w:cs="Arial"/>
        </w:rPr>
        <w:t>(</w:t>
      </w:r>
      <w:r w:rsidR="00FD4555">
        <w:rPr>
          <w:rFonts w:ascii="Arial" w:hAnsi="Arial" w:cs="Arial"/>
        </w:rPr>
        <w:t>84 days to 56 days</w:t>
      </w:r>
      <w:r w:rsidR="00941CA1">
        <w:rPr>
          <w:rFonts w:ascii="Arial" w:hAnsi="Arial" w:cs="Arial"/>
        </w:rPr>
        <w:t>)</w:t>
      </w:r>
      <w:r w:rsidR="00FD4555">
        <w:rPr>
          <w:rFonts w:ascii="Arial" w:hAnsi="Arial" w:cs="Arial"/>
        </w:rPr>
        <w:t>.</w:t>
      </w:r>
      <w:r w:rsidR="00B0624D">
        <w:rPr>
          <w:rFonts w:ascii="Arial" w:hAnsi="Arial" w:cs="Arial"/>
        </w:rPr>
        <w:t xml:space="preserve"> In short, suicide-specific interventions may help extend well-being for longer periods of time but results also suggest the need for booster sessions and subsequent care to consolidate any original treatment gains.</w:t>
      </w:r>
      <w:r w:rsidR="00FD4555">
        <w:rPr>
          <w:rFonts w:ascii="Arial" w:hAnsi="Arial" w:cs="Arial"/>
        </w:rPr>
        <w:t xml:space="preserve"> In addition, the survival analysis offers potential insight into the results summarized above regarding perceived helpfulness of the suicide-specific interventions, translating to significantly longer periods of successful emotional self-management post-discharge</w:t>
      </w:r>
      <w:r w:rsidR="00B0624D">
        <w:rPr>
          <w:rFonts w:ascii="Arial" w:hAnsi="Arial" w:cs="Arial"/>
        </w:rPr>
        <w:t xml:space="preserve"> secondary to greater use of targeted interventions</w:t>
      </w:r>
      <w:r w:rsidR="00FD4555">
        <w:rPr>
          <w:rFonts w:ascii="Arial" w:hAnsi="Arial" w:cs="Arial"/>
        </w:rPr>
        <w:t>. Finally, survival analysis findings also suggest windows for targeted suicide prevention booster sessions or related follow-up care</w:t>
      </w:r>
      <w:r w:rsidR="00B0624D">
        <w:rPr>
          <w:rFonts w:ascii="Arial" w:hAnsi="Arial" w:cs="Arial"/>
        </w:rPr>
        <w:t>, particularly when available resources and access to care are limited</w:t>
      </w:r>
      <w:r w:rsidR="00FD4555">
        <w:rPr>
          <w:rFonts w:ascii="Arial" w:hAnsi="Arial" w:cs="Arial"/>
        </w:rPr>
        <w:t>. In this case, for those in the BCBT-I group, booster suicide prevention care would be essential within the 90-day post-discharge window to maximize treatment gains</w:t>
      </w:r>
      <w:r w:rsidR="00941CA1">
        <w:rPr>
          <w:rFonts w:ascii="Arial" w:hAnsi="Arial" w:cs="Arial"/>
        </w:rPr>
        <w:t>, and within the 60-day window for those receiving TAU</w:t>
      </w:r>
      <w:r w:rsidR="00FD4555">
        <w:rPr>
          <w:rFonts w:ascii="Arial" w:hAnsi="Arial" w:cs="Arial"/>
        </w:rPr>
        <w:t xml:space="preserve">.  </w:t>
      </w:r>
    </w:p>
    <w:p w14:paraId="6907175D" w14:textId="77777777" w:rsidR="00B0624D" w:rsidRDefault="00B0624D" w:rsidP="002A6DCD">
      <w:pPr>
        <w:spacing w:line="480" w:lineRule="auto"/>
        <w:ind w:firstLine="720"/>
        <w:rPr>
          <w:rFonts w:ascii="Arial" w:hAnsi="Arial" w:cs="Arial"/>
        </w:rPr>
      </w:pPr>
    </w:p>
    <w:p w14:paraId="4BD1424F" w14:textId="77777777" w:rsidR="00B0624D" w:rsidRDefault="00B0624D" w:rsidP="002A6DCD">
      <w:pPr>
        <w:spacing w:line="480" w:lineRule="auto"/>
        <w:ind w:firstLine="720"/>
        <w:rPr>
          <w:rFonts w:ascii="Arial" w:hAnsi="Arial" w:cs="Arial"/>
        </w:rPr>
      </w:pPr>
    </w:p>
    <w:p w14:paraId="44E231BA" w14:textId="77777777" w:rsidR="00F44DE5" w:rsidRPr="00A17021" w:rsidRDefault="00F44DE5" w:rsidP="00F44DE5">
      <w:pPr>
        <w:spacing w:line="480" w:lineRule="auto"/>
        <w:rPr>
          <w:rFonts w:ascii="Arial" w:hAnsi="Arial" w:cs="Arial"/>
          <w:b/>
          <w:bCs/>
        </w:rPr>
      </w:pPr>
      <w:r w:rsidRPr="00A17021">
        <w:rPr>
          <w:rFonts w:ascii="Arial" w:hAnsi="Arial" w:cs="Arial"/>
          <w:b/>
          <w:bCs/>
        </w:rPr>
        <w:lastRenderedPageBreak/>
        <w:t xml:space="preserve">Limitations and Future Research </w:t>
      </w:r>
    </w:p>
    <w:p w14:paraId="349A7CD2" w14:textId="77777777" w:rsidR="00F44DE5" w:rsidRPr="005F3A49" w:rsidRDefault="00F44DE5" w:rsidP="00F44DE5">
      <w:pPr>
        <w:spacing w:line="480" w:lineRule="auto"/>
        <w:rPr>
          <w:rFonts w:ascii="Arial" w:hAnsi="Arial" w:cs="Arial"/>
        </w:rPr>
      </w:pPr>
      <w:r>
        <w:rPr>
          <w:rFonts w:ascii="Arial" w:hAnsi="Arial" w:cs="Arial"/>
        </w:rPr>
        <w:tab/>
        <w:t xml:space="preserve">The results of this study should be interpreted within the scope of several limitations, particularly those that limit the generalizability of the results to other populations and clinical settings. The sample included adult individuals presenting with suicide ideation and/or a suicide attempt, which may reflect individuals with higher-risk for suicidality. Additionally, due to the nature of the initial clinical trial, the sample reflects data collected within a more controlled, inpatient setting. The brief nature of the intervention may also differ from suicide-specific interventions delivered in outpatient settings. Future research would benefit from replication efforts specific to further evaluating differences in treatment response to suicide interventions, with specific attention to identifying treatment targets to improve clinical outcomes among treatment non-responders. </w:t>
      </w:r>
    </w:p>
    <w:p w14:paraId="71723182" w14:textId="77777777" w:rsidR="00F44DE5" w:rsidRPr="005F3A49" w:rsidRDefault="00F44DE5" w:rsidP="002A6DCD">
      <w:pPr>
        <w:spacing w:line="480" w:lineRule="auto"/>
        <w:ind w:firstLine="720"/>
        <w:rPr>
          <w:rFonts w:ascii="Arial" w:hAnsi="Arial" w:cs="Arial"/>
        </w:rPr>
      </w:pPr>
    </w:p>
    <w:p w14:paraId="648FD234" w14:textId="77777777" w:rsidR="00874F1D" w:rsidRPr="005F3A49" w:rsidRDefault="00874F1D" w:rsidP="00874F1D">
      <w:pPr>
        <w:spacing w:line="480" w:lineRule="auto"/>
        <w:rPr>
          <w:rFonts w:ascii="Arial" w:hAnsi="Arial" w:cs="Arial"/>
        </w:rPr>
      </w:pPr>
    </w:p>
    <w:p w14:paraId="109325EE" w14:textId="77777777" w:rsidR="00874F1D" w:rsidRPr="00446E44" w:rsidRDefault="00874F1D" w:rsidP="00F11B83">
      <w:pPr>
        <w:spacing w:line="480" w:lineRule="auto"/>
        <w:rPr>
          <w:rFonts w:ascii="Arial" w:hAnsi="Arial" w:cs="Arial"/>
          <w:b/>
          <w:bCs/>
        </w:rPr>
      </w:pPr>
    </w:p>
    <w:p w14:paraId="1924AFE9" w14:textId="77777777" w:rsidR="00AE07EC" w:rsidRDefault="00AE07EC">
      <w:pPr>
        <w:rPr>
          <w:rFonts w:ascii="Arial" w:hAnsi="Arial" w:cs="Arial"/>
        </w:rPr>
      </w:pPr>
      <w:r>
        <w:rPr>
          <w:rFonts w:ascii="Arial" w:hAnsi="Arial" w:cs="Arial"/>
        </w:rPr>
        <w:br w:type="page"/>
      </w:r>
    </w:p>
    <w:p w14:paraId="451C3D7F" w14:textId="77777777" w:rsidR="00AE07EC" w:rsidRDefault="00AE07EC" w:rsidP="00AE07EC">
      <w:pPr>
        <w:jc w:val="center"/>
        <w:rPr>
          <w:rFonts w:ascii="Arial" w:hAnsi="Arial" w:cs="Arial"/>
          <w:b/>
          <w:bCs/>
        </w:rPr>
      </w:pPr>
      <w:r>
        <w:rPr>
          <w:rFonts w:ascii="Arial" w:hAnsi="Arial" w:cs="Arial"/>
          <w:b/>
          <w:bCs/>
        </w:rPr>
        <w:lastRenderedPageBreak/>
        <w:t>References</w:t>
      </w:r>
    </w:p>
    <w:p w14:paraId="3AC4510E" w14:textId="77777777" w:rsidR="00DC4401" w:rsidRPr="00A312D9" w:rsidRDefault="00DC4401" w:rsidP="00DC4401">
      <w:pPr>
        <w:ind w:left="720" w:hanging="720"/>
        <w:rPr>
          <w:rFonts w:ascii="Arial" w:hAnsi="Arial" w:cs="Arial"/>
        </w:rPr>
      </w:pPr>
      <w:r w:rsidRPr="00A312D9">
        <w:rPr>
          <w:rFonts w:ascii="Arial" w:hAnsi="Arial" w:cs="Arial"/>
        </w:rPr>
        <w:t>Baker, J. C., Starkey, A., Ammendola, E., Bauder, C. R., Daruwala, S. E., Hiser, J., ... &amp; Bryan, C. J. (2024). Telehealth brief cognitive behavioral therapy for suicide prevention: a randomized clinical trial. </w:t>
      </w:r>
      <w:r w:rsidRPr="00A312D9">
        <w:rPr>
          <w:rFonts w:ascii="Arial" w:hAnsi="Arial" w:cs="Arial"/>
          <w:i/>
          <w:iCs/>
        </w:rPr>
        <w:t>JAMA Network Open</w:t>
      </w:r>
      <w:r w:rsidRPr="00A312D9">
        <w:rPr>
          <w:rFonts w:ascii="Arial" w:hAnsi="Arial" w:cs="Arial"/>
        </w:rPr>
        <w:t>, </w:t>
      </w:r>
      <w:r w:rsidRPr="00A312D9">
        <w:rPr>
          <w:rFonts w:ascii="Arial" w:hAnsi="Arial" w:cs="Arial"/>
          <w:i/>
          <w:iCs/>
        </w:rPr>
        <w:t>7</w:t>
      </w:r>
      <w:r w:rsidRPr="00A312D9">
        <w:rPr>
          <w:rFonts w:ascii="Arial" w:hAnsi="Arial" w:cs="Arial"/>
        </w:rPr>
        <w:t>(11), e2445913.</w:t>
      </w:r>
    </w:p>
    <w:p w14:paraId="18666699" w14:textId="77777777" w:rsidR="00DC4401" w:rsidRPr="00A312D9" w:rsidRDefault="00DC4401" w:rsidP="00DC4401">
      <w:pPr>
        <w:ind w:left="720" w:hanging="720"/>
        <w:rPr>
          <w:rFonts w:ascii="Arial" w:hAnsi="Arial" w:cs="Arial"/>
          <w:lang w:val="fr-FR"/>
        </w:rPr>
      </w:pPr>
      <w:r w:rsidRPr="00A312D9">
        <w:rPr>
          <w:rFonts w:ascii="Arial" w:hAnsi="Arial" w:cs="Arial"/>
        </w:rPr>
        <w:t>Beck, A. T., Steer, R. A., &amp; Brown, G. (1996). </w:t>
      </w:r>
      <w:r w:rsidRPr="00A312D9">
        <w:rPr>
          <w:rFonts w:ascii="Arial" w:hAnsi="Arial" w:cs="Arial"/>
          <w:i/>
          <w:iCs/>
        </w:rPr>
        <w:t>Beck Depression Inventory–II (BDI-II)</w:t>
      </w:r>
      <w:r w:rsidRPr="00A312D9">
        <w:rPr>
          <w:rFonts w:ascii="Arial" w:hAnsi="Arial" w:cs="Arial"/>
        </w:rPr>
        <w:t xml:space="preserve"> [Database record]. </w:t>
      </w:r>
      <w:r w:rsidRPr="00A312D9">
        <w:rPr>
          <w:rFonts w:ascii="Arial" w:hAnsi="Arial" w:cs="Arial"/>
          <w:lang w:val="fr-FR"/>
        </w:rPr>
        <w:t xml:space="preserve">APA PsycTests. </w:t>
      </w:r>
      <w:hyperlink r:id="rId9" w:history="1">
        <w:r w:rsidRPr="00A312D9">
          <w:rPr>
            <w:rStyle w:val="Hyperlink"/>
            <w:rFonts w:ascii="Arial" w:hAnsi="Arial" w:cs="Arial"/>
            <w:lang w:val="fr-FR"/>
          </w:rPr>
          <w:t>https://doi.org/10.1037/t00742-000</w:t>
        </w:r>
      </w:hyperlink>
    </w:p>
    <w:p w14:paraId="2B7AAD43" w14:textId="77777777" w:rsidR="00DC4401" w:rsidRPr="00A312D9" w:rsidRDefault="00DC4401" w:rsidP="00DC4401">
      <w:pPr>
        <w:ind w:left="720" w:hanging="720"/>
        <w:rPr>
          <w:rFonts w:ascii="Arial" w:hAnsi="Arial" w:cs="Arial"/>
        </w:rPr>
      </w:pPr>
      <w:r w:rsidRPr="00A312D9">
        <w:rPr>
          <w:rFonts w:ascii="Arial" w:hAnsi="Arial" w:cs="Arial"/>
          <w:lang w:val="fr-FR"/>
        </w:rPr>
        <w:t>Bryan, C. J., &amp; Rudd, M. D. (2018). </w:t>
      </w:r>
      <w:r w:rsidRPr="00A312D9">
        <w:rPr>
          <w:rFonts w:ascii="Arial" w:hAnsi="Arial" w:cs="Arial"/>
          <w:i/>
          <w:iCs/>
        </w:rPr>
        <w:t>Brief cognitive-behavioral therapy for suicide prevention</w:t>
      </w:r>
      <w:r w:rsidRPr="00A312D9">
        <w:rPr>
          <w:rFonts w:ascii="Arial" w:hAnsi="Arial" w:cs="Arial"/>
        </w:rPr>
        <w:t>. Guilford Publications.</w:t>
      </w:r>
    </w:p>
    <w:p w14:paraId="1C55A73A" w14:textId="77777777" w:rsidR="00DC4401" w:rsidRPr="00A312D9" w:rsidRDefault="00DC4401" w:rsidP="00DC4401">
      <w:pPr>
        <w:ind w:left="720" w:hanging="720"/>
        <w:rPr>
          <w:rFonts w:ascii="Arial" w:hAnsi="Arial" w:cs="Arial"/>
        </w:rPr>
      </w:pPr>
      <w:r w:rsidRPr="00A312D9">
        <w:rPr>
          <w:rFonts w:ascii="Arial" w:hAnsi="Arial" w:cs="Arial"/>
        </w:rPr>
        <w:t>Centers for Disease Control and Prevention. (2023, August 10th </w:t>
      </w:r>
      <w:r w:rsidRPr="00A312D9">
        <w:rPr>
          <w:rFonts w:ascii="Arial" w:hAnsi="Arial" w:cs="Arial"/>
          <w:i/>
          <w:iCs/>
        </w:rPr>
        <w:t>Suicide data and statistics</w:t>
      </w:r>
      <w:r w:rsidRPr="00A312D9">
        <w:rPr>
          <w:rFonts w:ascii="Arial" w:hAnsi="Arial" w:cs="Arial"/>
        </w:rPr>
        <w:t>. </w:t>
      </w:r>
      <w:hyperlink r:id="rId10" w:tgtFrame="_blank" w:history="1">
        <w:r w:rsidRPr="00A312D9">
          <w:rPr>
            <w:rStyle w:val="Hyperlink"/>
            <w:rFonts w:ascii="Arial" w:hAnsi="Arial" w:cs="Arial"/>
          </w:rPr>
          <w:t>https://www.cdc.gov/suicide/facts/data.html</w:t>
        </w:r>
      </w:hyperlink>
    </w:p>
    <w:p w14:paraId="1CFD2547" w14:textId="77777777" w:rsidR="00DC4401" w:rsidRPr="00A312D9" w:rsidRDefault="00DC4401" w:rsidP="00DC4401">
      <w:pPr>
        <w:ind w:left="720" w:hanging="720"/>
        <w:rPr>
          <w:rFonts w:ascii="Arial" w:hAnsi="Arial" w:cs="Arial"/>
        </w:rPr>
      </w:pPr>
      <w:r w:rsidRPr="00A312D9">
        <w:rPr>
          <w:rFonts w:ascii="Arial" w:hAnsi="Arial" w:cs="Arial"/>
        </w:rPr>
        <w:t>Centers for Disease Control and Prevention. (2024, October 29). </w:t>
      </w:r>
      <w:r w:rsidRPr="00A312D9">
        <w:rPr>
          <w:rFonts w:ascii="Arial" w:hAnsi="Arial" w:cs="Arial"/>
          <w:i/>
          <w:iCs/>
        </w:rPr>
        <w:t>Suicide data and statistics</w:t>
      </w:r>
      <w:r w:rsidRPr="00A312D9">
        <w:rPr>
          <w:rFonts w:ascii="Arial" w:hAnsi="Arial" w:cs="Arial"/>
        </w:rPr>
        <w:t>. </w:t>
      </w:r>
      <w:hyperlink r:id="rId11" w:tgtFrame="_blank" w:history="1">
        <w:r w:rsidRPr="00A312D9">
          <w:rPr>
            <w:rStyle w:val="Hyperlink"/>
            <w:rFonts w:ascii="Arial" w:hAnsi="Arial" w:cs="Arial"/>
          </w:rPr>
          <w:t>https://www.cdc.gov/suicide/facts/data.html</w:t>
        </w:r>
      </w:hyperlink>
    </w:p>
    <w:p w14:paraId="368BDA07" w14:textId="77777777" w:rsidR="00DC4401" w:rsidRPr="00A312D9" w:rsidRDefault="00DC4401" w:rsidP="00DC4401">
      <w:pPr>
        <w:ind w:left="720" w:hanging="720"/>
        <w:rPr>
          <w:rFonts w:ascii="Arial" w:hAnsi="Arial" w:cs="Arial"/>
        </w:rPr>
      </w:pPr>
      <w:r w:rsidRPr="00A312D9">
        <w:rPr>
          <w:rFonts w:ascii="Arial" w:hAnsi="Arial" w:cs="Arial"/>
        </w:rPr>
        <w:t>Chammas, F., Januel, D., &amp; Bouaziz, N. (2022). Inpatient suicide in psychiatric settings: Evaluation of current prevention measures. </w:t>
      </w:r>
      <w:r w:rsidRPr="00A312D9">
        <w:rPr>
          <w:rFonts w:ascii="Arial" w:hAnsi="Arial" w:cs="Arial"/>
          <w:i/>
          <w:iCs/>
        </w:rPr>
        <w:t>Frontiers in psychiatry</w:t>
      </w:r>
      <w:r w:rsidRPr="00A312D9">
        <w:rPr>
          <w:rFonts w:ascii="Arial" w:hAnsi="Arial" w:cs="Arial"/>
        </w:rPr>
        <w:t>, </w:t>
      </w:r>
      <w:r w:rsidRPr="00A312D9">
        <w:rPr>
          <w:rFonts w:ascii="Arial" w:hAnsi="Arial" w:cs="Arial"/>
          <w:i/>
          <w:iCs/>
        </w:rPr>
        <w:t>13</w:t>
      </w:r>
      <w:r w:rsidRPr="00A312D9">
        <w:rPr>
          <w:rFonts w:ascii="Arial" w:hAnsi="Arial" w:cs="Arial"/>
        </w:rPr>
        <w:t>, 997974.</w:t>
      </w:r>
    </w:p>
    <w:p w14:paraId="2E381217" w14:textId="77777777" w:rsidR="00DC4401" w:rsidRPr="00A312D9" w:rsidRDefault="00DC4401" w:rsidP="00DC4401">
      <w:pPr>
        <w:ind w:left="720" w:hanging="720"/>
        <w:rPr>
          <w:rFonts w:ascii="Arial" w:hAnsi="Arial" w:cs="Arial"/>
        </w:rPr>
      </w:pPr>
      <w:r w:rsidRPr="00A312D9">
        <w:rPr>
          <w:rFonts w:ascii="Arial" w:hAnsi="Arial" w:cs="Arial"/>
        </w:rPr>
        <w:t>Chung, D. T., Ryan, C. J., Hadzi-Pavlovic, D., Singh, S. P., Stanton, C., &amp; Large, M. M. (2017). Suicide rates after discharge from psychiatric facilities: a systematic review and meta-analysis. </w:t>
      </w:r>
      <w:r w:rsidRPr="00A312D9">
        <w:rPr>
          <w:rFonts w:ascii="Arial" w:hAnsi="Arial" w:cs="Arial"/>
          <w:i/>
          <w:iCs/>
        </w:rPr>
        <w:t>JAMA psychiatry</w:t>
      </w:r>
      <w:r w:rsidRPr="00A312D9">
        <w:rPr>
          <w:rFonts w:ascii="Arial" w:hAnsi="Arial" w:cs="Arial"/>
        </w:rPr>
        <w:t>, </w:t>
      </w:r>
      <w:r w:rsidRPr="00A312D9">
        <w:rPr>
          <w:rFonts w:ascii="Arial" w:hAnsi="Arial" w:cs="Arial"/>
          <w:i/>
          <w:iCs/>
        </w:rPr>
        <w:t>74</w:t>
      </w:r>
      <w:r w:rsidRPr="00A312D9">
        <w:rPr>
          <w:rFonts w:ascii="Arial" w:hAnsi="Arial" w:cs="Arial"/>
        </w:rPr>
        <w:t>(7), 694-702.</w:t>
      </w:r>
    </w:p>
    <w:p w14:paraId="381AC423" w14:textId="77777777" w:rsidR="00DC4401" w:rsidRPr="00A312D9" w:rsidRDefault="00DC4401" w:rsidP="00DC4401">
      <w:pPr>
        <w:ind w:left="720" w:hanging="720"/>
        <w:rPr>
          <w:rFonts w:ascii="Arial" w:hAnsi="Arial" w:cs="Arial"/>
        </w:rPr>
      </w:pPr>
      <w:r w:rsidRPr="00A312D9">
        <w:rPr>
          <w:rFonts w:ascii="Arial" w:hAnsi="Arial" w:cs="Arial"/>
        </w:rPr>
        <w:t>Pim Cuijpers, Clara Miguel, Mathias Harrer, Constantin Yves Plessen, Marketa Ciharova, Davide Papola, David Ebert, Eirini Karyotaki, Psychological treatment of depression: A systematic overview of a ‘Meta-Analytic Research Domain’, Journal of Affective Disorders, Volume 335, 2023, Pages 141-151, https://doi.org/10.1016/j.jad.2023.05.011.</w:t>
      </w:r>
    </w:p>
    <w:p w14:paraId="75E34D00" w14:textId="77777777" w:rsidR="00DC4401" w:rsidRPr="00A312D9" w:rsidRDefault="00DC4401" w:rsidP="00DC4401">
      <w:pPr>
        <w:spacing w:after="0" w:line="360" w:lineRule="auto"/>
        <w:ind w:left="720" w:hanging="720"/>
        <w:rPr>
          <w:rFonts w:ascii="Arial" w:hAnsi="Arial" w:cs="Arial"/>
          <w:lang w:val="es-ES"/>
        </w:rPr>
      </w:pPr>
      <w:r w:rsidRPr="00A312D9">
        <w:rPr>
          <w:rFonts w:ascii="Arial" w:hAnsi="Arial" w:cs="Arial"/>
          <w:lang w:val="es-ES"/>
        </w:rPr>
        <w:t>Díaz-Oliván, A. Porras-Segovia, M.L. Barrigón, L. Jiménez-Muñoz, E. Baca-García,</w:t>
      </w:r>
    </w:p>
    <w:p w14:paraId="2C0DF47C" w14:textId="77777777" w:rsidR="00DC4401" w:rsidRPr="00A312D9" w:rsidRDefault="00DC4401" w:rsidP="00DC4401">
      <w:pPr>
        <w:spacing w:after="0" w:line="360" w:lineRule="auto"/>
        <w:ind w:left="720"/>
        <w:rPr>
          <w:rFonts w:ascii="Arial" w:hAnsi="Arial" w:cs="Arial"/>
        </w:rPr>
      </w:pPr>
      <w:r w:rsidRPr="00A312D9">
        <w:rPr>
          <w:rFonts w:ascii="Arial" w:hAnsi="Arial" w:cs="Arial"/>
        </w:rPr>
        <w:t>Theoretical models of suicidal behaviour: A systematic review and narrative synthesis,</w:t>
      </w:r>
    </w:p>
    <w:p w14:paraId="2E68F9B6" w14:textId="77777777" w:rsidR="00DC4401" w:rsidRPr="00A312D9" w:rsidRDefault="00DC4401" w:rsidP="00DC4401">
      <w:pPr>
        <w:spacing w:after="0" w:line="360" w:lineRule="auto"/>
        <w:ind w:left="720"/>
        <w:rPr>
          <w:rFonts w:ascii="Arial" w:hAnsi="Arial" w:cs="Arial"/>
        </w:rPr>
      </w:pPr>
      <w:r w:rsidRPr="00A312D9">
        <w:rPr>
          <w:rFonts w:ascii="Arial" w:hAnsi="Arial" w:cs="Arial"/>
        </w:rPr>
        <w:t>The European Journal of Psychiatry, Volume 35, Issue 3, 2021, Pages 181-192,</w:t>
      </w:r>
    </w:p>
    <w:p w14:paraId="0C408B98" w14:textId="77777777" w:rsidR="00DC4401" w:rsidRPr="00A312D9" w:rsidRDefault="00DC4401" w:rsidP="00DC4401">
      <w:pPr>
        <w:spacing w:after="0" w:line="360" w:lineRule="auto"/>
        <w:ind w:left="720"/>
        <w:rPr>
          <w:rFonts w:ascii="Arial" w:hAnsi="Arial" w:cs="Arial"/>
        </w:rPr>
      </w:pPr>
      <w:r w:rsidRPr="00A312D9">
        <w:rPr>
          <w:rFonts w:ascii="Arial" w:hAnsi="Arial" w:cs="Arial"/>
        </w:rPr>
        <w:t>ISSN 0213-6163, https://doi.org/10.1016/j.ejpsy.2021.02.002.</w:t>
      </w:r>
    </w:p>
    <w:p w14:paraId="2337FCD8" w14:textId="77777777" w:rsidR="00DC4401" w:rsidRPr="00A312D9" w:rsidRDefault="00DC4401" w:rsidP="00DC4401">
      <w:pPr>
        <w:ind w:left="720" w:hanging="720"/>
        <w:rPr>
          <w:rFonts w:ascii="Arial" w:hAnsi="Arial" w:cs="Arial"/>
        </w:rPr>
      </w:pPr>
      <w:r w:rsidRPr="00A312D9">
        <w:rPr>
          <w:rFonts w:ascii="Arial" w:hAnsi="Arial" w:cs="Arial"/>
        </w:rPr>
        <w:t>Diefenbach, G. J., Rudd, M. D., Merling, L. F., Davies, C., Katz, B. W., &amp; Tolin, D. F. (2021). Brief cognitive-behavioral therapy for suicidal inpatients. </w:t>
      </w:r>
      <w:r w:rsidRPr="00A312D9">
        <w:rPr>
          <w:rFonts w:ascii="Arial" w:hAnsi="Arial" w:cs="Arial"/>
          <w:i/>
          <w:iCs/>
        </w:rPr>
        <w:t>Cognitive and Behavioral Practice</w:t>
      </w:r>
      <w:r w:rsidRPr="00A312D9">
        <w:rPr>
          <w:rFonts w:ascii="Arial" w:hAnsi="Arial" w:cs="Arial"/>
        </w:rPr>
        <w:t>, </w:t>
      </w:r>
      <w:r w:rsidRPr="00A312D9">
        <w:rPr>
          <w:rFonts w:ascii="Arial" w:hAnsi="Arial" w:cs="Arial"/>
          <w:i/>
          <w:iCs/>
        </w:rPr>
        <w:t>28</w:t>
      </w:r>
      <w:r w:rsidRPr="00A312D9">
        <w:rPr>
          <w:rFonts w:ascii="Arial" w:hAnsi="Arial" w:cs="Arial"/>
        </w:rPr>
        <w:t>(2), 224-240.</w:t>
      </w:r>
    </w:p>
    <w:p w14:paraId="35EBADE8" w14:textId="77777777" w:rsidR="00DC4401" w:rsidRPr="00A312D9" w:rsidRDefault="00DC4401" w:rsidP="00DC4401">
      <w:pPr>
        <w:ind w:left="720" w:hanging="720"/>
        <w:rPr>
          <w:rFonts w:ascii="Arial" w:hAnsi="Arial" w:cs="Arial"/>
        </w:rPr>
      </w:pPr>
      <w:r w:rsidRPr="00A312D9">
        <w:rPr>
          <w:rFonts w:ascii="Arial" w:hAnsi="Arial" w:cs="Arial"/>
        </w:rPr>
        <w:t>Diefenbach, G. J., Lord, K. A., Stubbing, J., Rudd, M. D., Levy, H. C., Worden, B., ... &amp; Tolin, D. F. (2024). Brief cognitive behavioral therapy for suicidal inpatients: a randomized clinical trial. </w:t>
      </w:r>
      <w:r w:rsidRPr="00A312D9">
        <w:rPr>
          <w:rFonts w:ascii="Arial" w:hAnsi="Arial" w:cs="Arial"/>
          <w:i/>
          <w:iCs/>
        </w:rPr>
        <w:t>JAMA psychiatry</w:t>
      </w:r>
      <w:r w:rsidRPr="00A312D9">
        <w:rPr>
          <w:rFonts w:ascii="Arial" w:hAnsi="Arial" w:cs="Arial"/>
        </w:rPr>
        <w:t>, </w:t>
      </w:r>
      <w:r w:rsidRPr="00A312D9">
        <w:rPr>
          <w:rFonts w:ascii="Arial" w:hAnsi="Arial" w:cs="Arial"/>
          <w:i/>
          <w:iCs/>
        </w:rPr>
        <w:t>81</w:t>
      </w:r>
      <w:r w:rsidRPr="00A312D9">
        <w:rPr>
          <w:rFonts w:ascii="Arial" w:hAnsi="Arial" w:cs="Arial"/>
        </w:rPr>
        <w:t>(12), 1177-1186.</w:t>
      </w:r>
    </w:p>
    <w:p w14:paraId="2D7B630A" w14:textId="77777777" w:rsidR="00DC4401" w:rsidRPr="00A312D9" w:rsidRDefault="00DC4401" w:rsidP="00DC4401">
      <w:pPr>
        <w:ind w:left="720" w:hanging="720"/>
        <w:rPr>
          <w:rFonts w:ascii="Arial" w:hAnsi="Arial" w:cs="Arial"/>
        </w:rPr>
      </w:pPr>
      <w:r w:rsidRPr="00A312D9">
        <w:rPr>
          <w:rFonts w:ascii="Arial" w:hAnsi="Arial" w:cs="Arial"/>
        </w:rPr>
        <w:lastRenderedPageBreak/>
        <w:t>Galynker I, Bloch-Elkouby S, Cohen LJ. Suicide crisis syndrome: a specific diagnosis to aid suicide prevention. World Psychiatry. 2024 Oct;23(3):362-363. doi: 10.1002/wps.21229. PMID: 39279405; PMCID: PMC11403158.</w:t>
      </w:r>
    </w:p>
    <w:p w14:paraId="71935497" w14:textId="77777777" w:rsidR="00DC4401" w:rsidRPr="00A312D9" w:rsidRDefault="00DC4401" w:rsidP="00DC4401">
      <w:pPr>
        <w:ind w:left="720" w:hanging="720"/>
        <w:rPr>
          <w:rFonts w:ascii="Arial" w:hAnsi="Arial" w:cs="Arial"/>
        </w:rPr>
      </w:pPr>
      <w:r w:rsidRPr="00A312D9">
        <w:rPr>
          <w:rFonts w:ascii="Arial" w:hAnsi="Arial" w:cs="Arial"/>
        </w:rPr>
        <w:t>Galynker I, Cohen L, Prekas AS, Bloch-Elkouby S, King M, Apter Levy Y. Suicide Crisis Syndrome: examining supporting evidence and barriers to diagnostic validity. Front Psychiatry. 2025 Sep 22;16:1627463. doi: 10.3389/fpsyt.2025.1627463. PMID: 41113191; PMCID: PMC12531818.</w:t>
      </w:r>
    </w:p>
    <w:p w14:paraId="3C211C84" w14:textId="77777777" w:rsidR="00DC4401" w:rsidRPr="00A312D9" w:rsidRDefault="00DC4401" w:rsidP="00DC4401">
      <w:pPr>
        <w:ind w:left="720" w:hanging="720"/>
        <w:rPr>
          <w:rFonts w:ascii="Arial" w:hAnsi="Arial" w:cs="Arial"/>
        </w:rPr>
      </w:pPr>
      <w:r w:rsidRPr="00A312D9">
        <w:rPr>
          <w:rFonts w:ascii="Arial" w:hAnsi="Arial" w:cs="Arial"/>
        </w:rPr>
        <w:t>Hawes, M. T., Marcello, S., &amp; Kleiman, E. M. (2025). We need more research on inpatient group therapy: A call to action. Psychological Medicine, 55, e150, 1–5 https://doi.org/10.1017/S0033291725000960</w:t>
      </w:r>
    </w:p>
    <w:p w14:paraId="5D4FD0F0" w14:textId="77777777" w:rsidR="00DC4401" w:rsidRPr="00A312D9" w:rsidRDefault="00DC4401" w:rsidP="00DC4401">
      <w:pPr>
        <w:ind w:left="720" w:hanging="720"/>
        <w:jc w:val="both"/>
        <w:rPr>
          <w:rFonts w:ascii="Arial" w:hAnsi="Arial" w:cs="Arial"/>
        </w:rPr>
      </w:pPr>
      <w:r w:rsidRPr="00A312D9">
        <w:rPr>
          <w:rFonts w:ascii="Arial" w:hAnsi="Arial" w:cs="Arial"/>
        </w:rPr>
        <w:t>Huisman, A., Kerkhof, A. J., &amp; Robben, P. B. (2011). Suicides in users of mental health care services: treatment characteristics and hindsight reflections. </w:t>
      </w:r>
      <w:r w:rsidRPr="00A312D9">
        <w:rPr>
          <w:rFonts w:ascii="Arial" w:hAnsi="Arial" w:cs="Arial"/>
          <w:i/>
          <w:iCs/>
        </w:rPr>
        <w:t>Suicide and Life</w:t>
      </w:r>
      <w:r w:rsidRPr="00A312D9">
        <w:rPr>
          <w:rFonts w:ascii="Cambria Math" w:hAnsi="Cambria Math" w:cs="Cambria Math"/>
          <w:i/>
          <w:iCs/>
        </w:rPr>
        <w:t>‐</w:t>
      </w:r>
      <w:r w:rsidRPr="00A312D9">
        <w:rPr>
          <w:rFonts w:ascii="Arial" w:hAnsi="Arial" w:cs="Arial"/>
          <w:i/>
          <w:iCs/>
        </w:rPr>
        <w:t>Threatening Behavior</w:t>
      </w:r>
      <w:r w:rsidRPr="00A312D9">
        <w:rPr>
          <w:rFonts w:ascii="Arial" w:hAnsi="Arial" w:cs="Arial"/>
        </w:rPr>
        <w:t>, </w:t>
      </w:r>
      <w:r w:rsidRPr="00A312D9">
        <w:rPr>
          <w:rFonts w:ascii="Arial" w:hAnsi="Arial" w:cs="Arial"/>
          <w:i/>
          <w:iCs/>
        </w:rPr>
        <w:t>41</w:t>
      </w:r>
      <w:r w:rsidRPr="00A312D9">
        <w:rPr>
          <w:rFonts w:ascii="Arial" w:hAnsi="Arial" w:cs="Arial"/>
        </w:rPr>
        <w:t>(1), 41-49.</w:t>
      </w:r>
    </w:p>
    <w:p w14:paraId="5A0F70FC" w14:textId="77777777" w:rsidR="00DC4401" w:rsidRPr="00A312D9" w:rsidRDefault="00DC4401" w:rsidP="00DC4401">
      <w:pPr>
        <w:spacing w:after="0" w:line="360" w:lineRule="auto"/>
        <w:rPr>
          <w:rFonts w:ascii="Arial" w:hAnsi="Arial" w:cs="Arial"/>
        </w:rPr>
      </w:pPr>
      <w:r w:rsidRPr="00A312D9">
        <w:rPr>
          <w:rFonts w:ascii="Arial" w:hAnsi="Arial" w:cs="Arial"/>
        </w:rPr>
        <w:t>Institute of Medicine (US) Committee on Pathophysiology and Prevention of Adolescent and</w:t>
      </w:r>
    </w:p>
    <w:p w14:paraId="1D6E5FAC" w14:textId="77777777" w:rsidR="00DC4401" w:rsidRPr="00A312D9" w:rsidRDefault="00DC4401" w:rsidP="00DC4401">
      <w:pPr>
        <w:spacing w:after="0" w:line="360" w:lineRule="auto"/>
        <w:ind w:left="720"/>
        <w:rPr>
          <w:rFonts w:ascii="Arial" w:hAnsi="Arial" w:cs="Arial"/>
        </w:rPr>
      </w:pPr>
      <w:r w:rsidRPr="00A312D9">
        <w:rPr>
          <w:rFonts w:ascii="Arial" w:hAnsi="Arial" w:cs="Arial"/>
        </w:rPr>
        <w:t xml:space="preserve">Adult Suicide; Goldsmith SK, Pellmar TC, Kleinman AM, et al., editors. Reducing Suicide: A National Imperative. Washington (DC): National Academies Press (US); 2002. 9, Barriers to Effective Treatment and Intervention. Available from: </w:t>
      </w:r>
      <w:hyperlink r:id="rId12" w:history="1">
        <w:r w:rsidRPr="00A312D9">
          <w:rPr>
            <w:rStyle w:val="Hyperlink"/>
            <w:rFonts w:ascii="Arial" w:hAnsi="Arial" w:cs="Arial"/>
          </w:rPr>
          <w:t>https://www.ncbi.nlm.nih.gov/books/NBK220944/</w:t>
        </w:r>
      </w:hyperlink>
    </w:p>
    <w:p w14:paraId="2E590115" w14:textId="77777777" w:rsidR="00DC4401" w:rsidRPr="00A312D9" w:rsidRDefault="00DC4401" w:rsidP="00DC4401">
      <w:pPr>
        <w:spacing w:after="0" w:line="360" w:lineRule="auto"/>
        <w:rPr>
          <w:rFonts w:ascii="Arial" w:hAnsi="Arial" w:cs="Arial"/>
        </w:rPr>
      </w:pPr>
      <w:r w:rsidRPr="00A312D9">
        <w:rPr>
          <w:rFonts w:ascii="Arial" w:hAnsi="Arial" w:cs="Arial"/>
        </w:rPr>
        <w:t>Jacobson, N. S., &amp; Truax, P. (1991). Clinical significance: A statistical approach to defining meaningful change in psychotherapy research. </w:t>
      </w:r>
      <w:r w:rsidRPr="00A312D9">
        <w:rPr>
          <w:rFonts w:ascii="Arial" w:hAnsi="Arial" w:cs="Arial"/>
          <w:i/>
          <w:iCs/>
        </w:rPr>
        <w:t>Journal of Consulting and Clinical Psychology, 59</w:t>
      </w:r>
      <w:r w:rsidRPr="00A312D9">
        <w:rPr>
          <w:rFonts w:ascii="Arial" w:hAnsi="Arial" w:cs="Arial"/>
        </w:rPr>
        <w:t>(1), 12–19. </w:t>
      </w:r>
      <w:hyperlink r:id="rId13" w:tgtFrame="_blank" w:history="1">
        <w:r w:rsidRPr="00A312D9">
          <w:rPr>
            <w:rStyle w:val="Hyperlink"/>
            <w:rFonts w:ascii="Arial" w:hAnsi="Arial" w:cs="Arial"/>
          </w:rPr>
          <w:t>https://doi.org/10.1037/0022-006X.59.1.12</w:t>
        </w:r>
      </w:hyperlink>
    </w:p>
    <w:p w14:paraId="278B53EE" w14:textId="77777777" w:rsidR="00DC4401" w:rsidRPr="00A312D9" w:rsidRDefault="00DC4401" w:rsidP="00DC4401">
      <w:pPr>
        <w:spacing w:after="0" w:line="360" w:lineRule="auto"/>
        <w:rPr>
          <w:rFonts w:ascii="Arial" w:hAnsi="Arial" w:cs="Arial"/>
        </w:rPr>
      </w:pPr>
    </w:p>
    <w:p w14:paraId="271F8803" w14:textId="77777777" w:rsidR="00DC4401" w:rsidRPr="00DC4401" w:rsidRDefault="00DC4401" w:rsidP="00DC4401">
      <w:pPr>
        <w:spacing w:after="0" w:line="360" w:lineRule="auto"/>
        <w:rPr>
          <w:rFonts w:ascii="Arial" w:hAnsi="Arial" w:cs="Arial"/>
          <w:lang w:val="es-ES"/>
        </w:rPr>
      </w:pPr>
      <w:r w:rsidRPr="00A312D9">
        <w:rPr>
          <w:rFonts w:ascii="Arial" w:hAnsi="Arial" w:cs="Arial"/>
        </w:rPr>
        <w:t>Jobes, D. A., &amp; Joiner, T. E. (2019). Reflections on suicidal ideation [Editorial]. </w:t>
      </w:r>
      <w:r w:rsidRPr="00A312D9">
        <w:rPr>
          <w:rFonts w:ascii="Arial" w:hAnsi="Arial" w:cs="Arial"/>
          <w:i/>
          <w:iCs/>
        </w:rPr>
        <w:t>Crisis: The Journal of Crisis Intervention and Suicide Prevention, 40</w:t>
      </w:r>
      <w:r w:rsidRPr="00A312D9">
        <w:rPr>
          <w:rFonts w:ascii="Arial" w:hAnsi="Arial" w:cs="Arial"/>
        </w:rPr>
        <w:t>(4), 227–230. </w:t>
      </w:r>
      <w:hyperlink r:id="rId14" w:tgtFrame="_blank" w:history="1">
        <w:r w:rsidRPr="00DC4401">
          <w:rPr>
            <w:rStyle w:val="Hyperlink"/>
            <w:rFonts w:ascii="Arial" w:hAnsi="Arial" w:cs="Arial"/>
            <w:lang w:val="es-ES"/>
          </w:rPr>
          <w:t>https://doi.org/10.1027/0227-5910/a000615</w:t>
        </w:r>
      </w:hyperlink>
    </w:p>
    <w:p w14:paraId="7FB1978E" w14:textId="77777777" w:rsidR="00DC4401" w:rsidRPr="00DC4401" w:rsidRDefault="00DC4401" w:rsidP="00DC4401">
      <w:pPr>
        <w:spacing w:after="0" w:line="360" w:lineRule="auto"/>
        <w:rPr>
          <w:rFonts w:ascii="Arial" w:hAnsi="Arial" w:cs="Arial"/>
          <w:lang w:val="es-ES"/>
        </w:rPr>
      </w:pPr>
    </w:p>
    <w:p w14:paraId="5B1012D4" w14:textId="77777777" w:rsidR="00DC4401" w:rsidRPr="00A312D9" w:rsidRDefault="00DC4401" w:rsidP="00DC4401">
      <w:pPr>
        <w:spacing w:line="360" w:lineRule="auto"/>
        <w:ind w:left="720" w:hanging="720"/>
        <w:rPr>
          <w:rFonts w:ascii="Arial" w:hAnsi="Arial" w:cs="Arial"/>
        </w:rPr>
      </w:pPr>
      <w:r w:rsidRPr="00A312D9">
        <w:rPr>
          <w:rFonts w:ascii="Arial" w:hAnsi="Arial" w:cs="Arial"/>
          <w:lang w:val="es-ES"/>
        </w:rPr>
        <w:t xml:space="preserve">Meerwijk EL,Parekh A,Oquendo MA,Allen IE, Franck LS, Lee KA. </w:t>
      </w:r>
      <w:r w:rsidRPr="00A312D9">
        <w:rPr>
          <w:rFonts w:ascii="Arial" w:hAnsi="Arial" w:cs="Arial"/>
        </w:rPr>
        <w:t>Direct versus indirect psychosocial and behavioural interventions to prevent suicide and suicide attempts: a systematic review and meta-analysis. Lancet Psychiatry. 2016; 3(6):544-554. doi:10.1016/S2215-0366(16) 00064-X</w:t>
      </w:r>
    </w:p>
    <w:p w14:paraId="12AF2CC1" w14:textId="77777777" w:rsidR="00DC4401" w:rsidRPr="00A312D9" w:rsidRDefault="00DC4401" w:rsidP="00DC4401">
      <w:pPr>
        <w:spacing w:line="360" w:lineRule="auto"/>
        <w:ind w:left="720" w:hanging="720"/>
        <w:rPr>
          <w:rFonts w:ascii="Arial" w:hAnsi="Arial" w:cs="Arial"/>
        </w:rPr>
      </w:pPr>
      <w:r w:rsidRPr="00A312D9">
        <w:rPr>
          <w:rFonts w:ascii="Arial" w:hAnsi="Arial" w:cs="Arial"/>
        </w:rPr>
        <w:lastRenderedPageBreak/>
        <w:t>Olfson, M., Wall, M., Wang, S., Crystal, S., Liu, S. M., Gerhard, T., &amp; Blanco, C. (2016). Short-term suicide risk after psychiatric hospital discharge. </w:t>
      </w:r>
      <w:r w:rsidRPr="00A312D9">
        <w:rPr>
          <w:rFonts w:ascii="Arial" w:hAnsi="Arial" w:cs="Arial"/>
          <w:i/>
          <w:iCs/>
        </w:rPr>
        <w:t>JAMA psychiatry</w:t>
      </w:r>
      <w:r w:rsidRPr="00A312D9">
        <w:rPr>
          <w:rFonts w:ascii="Arial" w:hAnsi="Arial" w:cs="Arial"/>
        </w:rPr>
        <w:t>, </w:t>
      </w:r>
      <w:r w:rsidRPr="00A312D9">
        <w:rPr>
          <w:rFonts w:ascii="Arial" w:hAnsi="Arial" w:cs="Arial"/>
          <w:i/>
          <w:iCs/>
        </w:rPr>
        <w:t>73</w:t>
      </w:r>
      <w:r w:rsidRPr="00A312D9">
        <w:rPr>
          <w:rFonts w:ascii="Arial" w:hAnsi="Arial" w:cs="Arial"/>
        </w:rPr>
        <w:t>(11), 1119-1126.</w:t>
      </w:r>
    </w:p>
    <w:p w14:paraId="6554A481" w14:textId="77777777" w:rsidR="00DC4401" w:rsidRPr="00A312D9" w:rsidRDefault="00DC4401" w:rsidP="00DC4401">
      <w:pPr>
        <w:spacing w:line="360" w:lineRule="auto"/>
        <w:ind w:left="720" w:hanging="720"/>
        <w:rPr>
          <w:rFonts w:ascii="Arial" w:hAnsi="Arial" w:cs="Arial"/>
          <w:lang w:val="fr-FR"/>
        </w:rPr>
      </w:pPr>
      <w:r w:rsidRPr="00A312D9">
        <w:rPr>
          <w:rFonts w:ascii="Arial" w:hAnsi="Arial" w:cs="Arial"/>
        </w:rPr>
        <w:t>Posner, K. (2007). </w:t>
      </w:r>
      <w:r w:rsidRPr="00A312D9">
        <w:rPr>
          <w:rFonts w:ascii="Arial" w:hAnsi="Arial" w:cs="Arial"/>
          <w:i/>
          <w:iCs/>
        </w:rPr>
        <w:t>Columbia-Suicide Severity Rating Scale (C-SSRS)</w:t>
      </w:r>
      <w:r w:rsidRPr="00A312D9">
        <w:rPr>
          <w:rFonts w:ascii="Arial" w:hAnsi="Arial" w:cs="Arial"/>
        </w:rPr>
        <w:t xml:space="preserve"> [Database record]. </w:t>
      </w:r>
      <w:r w:rsidRPr="00A312D9">
        <w:rPr>
          <w:rFonts w:ascii="Arial" w:hAnsi="Arial" w:cs="Arial"/>
          <w:lang w:val="fr-FR"/>
        </w:rPr>
        <w:t xml:space="preserve">APA PsycTests. </w:t>
      </w:r>
      <w:hyperlink r:id="rId15" w:history="1">
        <w:r w:rsidRPr="00A312D9">
          <w:rPr>
            <w:rStyle w:val="Hyperlink"/>
            <w:rFonts w:ascii="Arial" w:hAnsi="Arial" w:cs="Arial"/>
            <w:lang w:val="fr-FR"/>
          </w:rPr>
          <w:t>https://doi.org/10.1037/t52667-000</w:t>
        </w:r>
      </w:hyperlink>
    </w:p>
    <w:p w14:paraId="7B37D222" w14:textId="77777777" w:rsidR="00DC4401" w:rsidRPr="00A312D9" w:rsidRDefault="00DC4401" w:rsidP="00DC4401">
      <w:pPr>
        <w:ind w:left="720" w:hanging="720"/>
        <w:rPr>
          <w:rFonts w:ascii="Arial" w:hAnsi="Arial" w:cs="Arial"/>
        </w:rPr>
      </w:pPr>
      <w:r w:rsidRPr="00A312D9">
        <w:rPr>
          <w:rFonts w:ascii="Arial" w:hAnsi="Arial" w:cs="Arial"/>
          <w:lang w:val="fr-FR"/>
        </w:rPr>
        <w:t xml:space="preserve">Qin, P., &amp; Nordentoft, M. (2005). </w:t>
      </w:r>
      <w:r w:rsidRPr="00A312D9">
        <w:rPr>
          <w:rFonts w:ascii="Arial" w:hAnsi="Arial" w:cs="Arial"/>
        </w:rPr>
        <w:t>Suicide risk in relation to psychiatric hospitalization: evidence based on longitudinal registers. </w:t>
      </w:r>
      <w:r w:rsidRPr="00A312D9">
        <w:rPr>
          <w:rFonts w:ascii="Arial" w:hAnsi="Arial" w:cs="Arial"/>
          <w:i/>
          <w:iCs/>
        </w:rPr>
        <w:t>Archives of general psychiatry</w:t>
      </w:r>
      <w:r w:rsidRPr="00A312D9">
        <w:rPr>
          <w:rFonts w:ascii="Arial" w:hAnsi="Arial" w:cs="Arial"/>
        </w:rPr>
        <w:t>, </w:t>
      </w:r>
      <w:r w:rsidRPr="00A312D9">
        <w:rPr>
          <w:rFonts w:ascii="Arial" w:hAnsi="Arial" w:cs="Arial"/>
          <w:i/>
          <w:iCs/>
        </w:rPr>
        <w:t>62</w:t>
      </w:r>
      <w:r w:rsidRPr="00A312D9">
        <w:rPr>
          <w:rFonts w:ascii="Arial" w:hAnsi="Arial" w:cs="Arial"/>
        </w:rPr>
        <w:t>(4), 427-432.</w:t>
      </w:r>
    </w:p>
    <w:p w14:paraId="27856A6C" w14:textId="77777777" w:rsidR="00DC4401" w:rsidRPr="00A312D9" w:rsidRDefault="00DC4401" w:rsidP="00DC4401">
      <w:pPr>
        <w:ind w:left="720" w:hanging="720"/>
        <w:rPr>
          <w:rFonts w:ascii="Arial" w:hAnsi="Arial" w:cs="Arial"/>
          <w:lang w:val="fr-FR"/>
        </w:rPr>
      </w:pPr>
      <w:r w:rsidRPr="00A312D9">
        <w:rPr>
          <w:rFonts w:ascii="Arial" w:hAnsi="Arial" w:cs="Arial"/>
        </w:rPr>
        <w:t>Quinnett, P. (2018). The role of clinician fear in interviewing suicidal patients. </w:t>
      </w:r>
      <w:r w:rsidRPr="00A312D9">
        <w:rPr>
          <w:rFonts w:ascii="Arial" w:hAnsi="Arial" w:cs="Arial"/>
          <w:i/>
          <w:iCs/>
          <w:lang w:val="fr-FR"/>
        </w:rPr>
        <w:t>Crisis</w:t>
      </w:r>
      <w:r w:rsidRPr="00A312D9">
        <w:rPr>
          <w:rFonts w:ascii="Arial" w:hAnsi="Arial" w:cs="Arial"/>
          <w:lang w:val="fr-FR"/>
        </w:rPr>
        <w:t>.</w:t>
      </w:r>
    </w:p>
    <w:p w14:paraId="445085AE" w14:textId="77777777" w:rsidR="00DC4401" w:rsidRPr="00A312D9" w:rsidRDefault="00DC4401" w:rsidP="00DC4401">
      <w:pPr>
        <w:ind w:left="720" w:hanging="720"/>
        <w:rPr>
          <w:rFonts w:ascii="Arial" w:hAnsi="Arial" w:cs="Arial"/>
        </w:rPr>
      </w:pPr>
      <w:r w:rsidRPr="00A312D9">
        <w:rPr>
          <w:rFonts w:ascii="Arial" w:hAnsi="Arial" w:cs="Arial"/>
          <w:lang w:val="fr-FR"/>
        </w:rPr>
        <w:t>Reynolds, W. M. (1991). </w:t>
      </w:r>
      <w:r w:rsidRPr="00A312D9">
        <w:rPr>
          <w:rFonts w:ascii="Arial" w:hAnsi="Arial" w:cs="Arial"/>
          <w:i/>
          <w:iCs/>
          <w:lang w:val="fr-FR"/>
        </w:rPr>
        <w:t>Adult Suicidal Ideation Questionnaire</w:t>
      </w:r>
      <w:r w:rsidRPr="00A312D9">
        <w:rPr>
          <w:rFonts w:ascii="Arial" w:hAnsi="Arial" w:cs="Arial"/>
          <w:lang w:val="fr-FR"/>
        </w:rPr>
        <w:t xml:space="preserve"> [Database record]. </w:t>
      </w:r>
      <w:r w:rsidRPr="00A312D9">
        <w:rPr>
          <w:rFonts w:ascii="Arial" w:hAnsi="Arial" w:cs="Arial"/>
        </w:rPr>
        <w:t xml:space="preserve">APA PsycTests. </w:t>
      </w:r>
      <w:hyperlink r:id="rId16" w:history="1">
        <w:r w:rsidRPr="00A312D9">
          <w:rPr>
            <w:rStyle w:val="Hyperlink"/>
            <w:rFonts w:ascii="Arial" w:hAnsi="Arial" w:cs="Arial"/>
          </w:rPr>
          <w:t>https://doi.org/10.1037/t03904-000</w:t>
        </w:r>
      </w:hyperlink>
    </w:p>
    <w:p w14:paraId="602532E2" w14:textId="77777777" w:rsidR="00DC4401" w:rsidRPr="00A312D9" w:rsidRDefault="00DC4401" w:rsidP="00DC4401">
      <w:pPr>
        <w:ind w:left="720" w:hanging="720"/>
        <w:rPr>
          <w:rFonts w:ascii="Arial" w:hAnsi="Arial" w:cs="Arial"/>
        </w:rPr>
      </w:pPr>
      <w:r w:rsidRPr="00A312D9">
        <w:rPr>
          <w:rFonts w:ascii="Arial" w:hAnsi="Arial" w:cs="Arial"/>
        </w:rPr>
        <w:t>Rogers ML, Chu C, Joiner T. The necessity, validity, and clinical utility of a new diagnostic entity: Acute suicidal affective disturbance. J Clin Psychol. 2019 Jun;75(6):999-1010. doi: 10.1002/jclp.22743. Epub 2019 Jan 11. PMID: 30632615; PMCID: PMC6513685.</w:t>
      </w:r>
    </w:p>
    <w:p w14:paraId="0E1DFDAB" w14:textId="77777777" w:rsidR="00DC4401" w:rsidRPr="00A312D9" w:rsidRDefault="00DC4401" w:rsidP="00DC4401">
      <w:pPr>
        <w:ind w:left="720" w:hanging="720"/>
        <w:rPr>
          <w:rFonts w:ascii="Arial" w:hAnsi="Arial" w:cs="Arial"/>
        </w:rPr>
      </w:pPr>
      <w:r w:rsidRPr="00A312D9">
        <w:rPr>
          <w:rFonts w:ascii="Arial" w:hAnsi="Arial" w:cs="Arial"/>
        </w:rPr>
        <w:t>Rudd MD. The suicidal mode: a cognitive-behavioral model of suicidality. Suicide Life Threat Behav. 2000 Spring;30(1):18-33. PMID: 10782716.</w:t>
      </w:r>
    </w:p>
    <w:p w14:paraId="2F993C60" w14:textId="77777777" w:rsidR="00DC4401" w:rsidRPr="00A312D9" w:rsidRDefault="00DC4401" w:rsidP="00DC4401">
      <w:pPr>
        <w:ind w:left="720" w:hanging="720"/>
        <w:rPr>
          <w:rFonts w:ascii="Arial" w:hAnsi="Arial" w:cs="Arial"/>
        </w:rPr>
      </w:pPr>
      <w:r w:rsidRPr="00A312D9">
        <w:rPr>
          <w:rFonts w:ascii="Arial" w:hAnsi="Arial" w:cs="Arial"/>
        </w:rPr>
        <w:t>Rudd MD, Bryan CJ. The Brief Suicide Cognitions Scale: Development and Clinical Application. Front Psychiatry. 2021 Sep 14;12:737393. doi: 10.3389/fpsyt.2021.737393. PMID: 34594254; PMCID: PMC8476787.</w:t>
      </w:r>
    </w:p>
    <w:p w14:paraId="24ADEBA5" w14:textId="77777777" w:rsidR="00DC4401" w:rsidRPr="00A312D9" w:rsidRDefault="00DC4401" w:rsidP="00DC4401">
      <w:pPr>
        <w:ind w:left="720" w:hanging="720"/>
        <w:rPr>
          <w:rFonts w:ascii="Arial" w:hAnsi="Arial" w:cs="Arial"/>
        </w:rPr>
      </w:pPr>
      <w:r w:rsidRPr="00A312D9">
        <w:rPr>
          <w:rFonts w:ascii="Arial" w:hAnsi="Arial" w:cs="Arial"/>
        </w:rPr>
        <w:t>Rudd MD, Bryan CJ, Wertenberger EG, Peterson AL, Young-McCaughan S, Mintz J, Williams SR, Arne KA, Breitbach J, Delano K, Wilkinson E, Bruce TO. Brief cognitive-behavioral therapy effects on post-treatment suicide attempts in a military sample: results of a randomized clinical trial with 2-year follow-up. Am J Psychiatry. 2015 May;172(5):441-9. doi: 10.1176/appi.ajp.2014.14070843</w:t>
      </w:r>
    </w:p>
    <w:p w14:paraId="3F35D855" w14:textId="77777777" w:rsidR="00DC4401" w:rsidRPr="00A312D9" w:rsidRDefault="00DC4401" w:rsidP="00DC4401">
      <w:pPr>
        <w:ind w:left="720" w:hanging="720"/>
        <w:rPr>
          <w:rFonts w:ascii="Arial" w:hAnsi="Arial" w:cs="Arial"/>
        </w:rPr>
      </w:pPr>
      <w:r w:rsidRPr="00A312D9">
        <w:rPr>
          <w:rFonts w:ascii="Arial" w:hAnsi="Arial" w:cs="Arial"/>
        </w:rPr>
        <w:t>Rudd MD, Diefenbach GJ, Tolin DF, Pérez-Muñoz A, Flowers T, Tuna B, Gleason VL, Tempchin J, Bryan CJ. Clinical utility of the brief suicide cognitions scale with high-risk inpatient, outpatient, and emergency department clinical samples. J Psychiatr Res. 2025 Nov;191:155-161. doi: 10.1016/j.jpsychires.2025.09.034. </w:t>
      </w:r>
    </w:p>
    <w:p w14:paraId="0FB901FC" w14:textId="77777777" w:rsidR="00DC4401" w:rsidRPr="00A312D9" w:rsidRDefault="00DC4401" w:rsidP="00DC4401">
      <w:pPr>
        <w:ind w:left="720" w:hanging="720"/>
        <w:rPr>
          <w:rFonts w:ascii="Arial" w:hAnsi="Arial" w:cs="Arial"/>
        </w:rPr>
      </w:pPr>
      <w:r w:rsidRPr="00A312D9">
        <w:rPr>
          <w:rFonts w:ascii="Arial" w:hAnsi="Arial" w:cs="Arial"/>
        </w:rPr>
        <w:t>Sufrate-Sorzano T, Santolalla-Arnedo I, Garrote-Cámara ME,etal. Interventions of choice for the prevention andtreatmentofsuicidal behaviours: an umbrella review. Nurs Open. 2023; 10(8):4959-4970. doi:10.1002/nop2.1820</w:t>
      </w:r>
    </w:p>
    <w:p w14:paraId="478DD080" w14:textId="77777777" w:rsidR="00DC4401" w:rsidRPr="00A312D9" w:rsidRDefault="00DC4401" w:rsidP="00DC4401">
      <w:pPr>
        <w:ind w:left="720" w:hanging="720"/>
        <w:rPr>
          <w:rFonts w:ascii="Arial" w:hAnsi="Arial" w:cs="Arial"/>
        </w:rPr>
      </w:pPr>
      <w:r w:rsidRPr="00A312D9">
        <w:rPr>
          <w:rFonts w:ascii="Arial" w:hAnsi="Arial" w:cs="Arial"/>
        </w:rPr>
        <w:lastRenderedPageBreak/>
        <w:t>The Joint Commission. (2023). National Patient Safety Goals. Retrieved from </w:t>
      </w:r>
      <w:hyperlink r:id="rId17" w:history="1">
        <w:r w:rsidRPr="00A312D9">
          <w:rPr>
            <w:rStyle w:val="Hyperlink"/>
            <w:rFonts w:ascii="Arial" w:hAnsi="Arial" w:cs="Arial"/>
          </w:rPr>
          <w:t>https://www.jointcommission.org/standards/national-patient-safety-goals/</w:t>
        </w:r>
      </w:hyperlink>
    </w:p>
    <w:p w14:paraId="2684A1EF" w14:textId="77777777" w:rsidR="00DC4401" w:rsidRPr="00A312D9" w:rsidRDefault="00DC4401" w:rsidP="00DC4401">
      <w:pPr>
        <w:ind w:left="720" w:hanging="720"/>
        <w:rPr>
          <w:rFonts w:ascii="Arial" w:hAnsi="Arial" w:cs="Arial"/>
        </w:rPr>
      </w:pPr>
      <w:r w:rsidRPr="00A312D9">
        <w:rPr>
          <w:rFonts w:ascii="Arial" w:hAnsi="Arial" w:cs="Arial"/>
          <w:lang w:val="es-ES"/>
        </w:rPr>
        <w:t xml:space="preserve">van Ballegooijen W, Rawee J, Palantza C, et al. </w:t>
      </w:r>
      <w:r w:rsidRPr="00A312D9">
        <w:rPr>
          <w:rFonts w:ascii="Arial" w:hAnsi="Arial" w:cs="Arial"/>
        </w:rPr>
        <w:t>Suicidal Ideation and Suicide Attempts After Direct or Indirect Psychotherapy: A Systematic Review and Meta-Analysis. </w:t>
      </w:r>
      <w:r w:rsidRPr="00A312D9">
        <w:rPr>
          <w:rFonts w:ascii="Arial" w:hAnsi="Arial" w:cs="Arial"/>
          <w:i/>
          <w:iCs/>
        </w:rPr>
        <w:t>JAMA Psychiatry.</w:t>
      </w:r>
      <w:r w:rsidRPr="00A312D9">
        <w:rPr>
          <w:rFonts w:ascii="Arial" w:hAnsi="Arial" w:cs="Arial"/>
        </w:rPr>
        <w:t> 2025;82(1):31–37. doi:10.1001/jamapsychiatry.2024.2854</w:t>
      </w:r>
    </w:p>
    <w:p w14:paraId="494502B9" w14:textId="77777777" w:rsidR="00DC4401" w:rsidRPr="00A312D9" w:rsidRDefault="00DC4401" w:rsidP="00DC4401">
      <w:pPr>
        <w:ind w:left="720" w:hanging="720"/>
        <w:rPr>
          <w:rFonts w:ascii="Arial" w:hAnsi="Arial" w:cs="Arial"/>
        </w:rPr>
      </w:pPr>
      <w:r w:rsidRPr="00A312D9">
        <w:rPr>
          <w:rFonts w:ascii="Arial" w:hAnsi="Arial" w:cs="Arial"/>
        </w:rPr>
        <w:t>Voros V, Tenyi T, Nagy A, Fekete S and Osvath P (2021) Crisis Concept Re-loaded?—The Recently Described Suicide-Specific Syndromes May Help to Better Understand Suicidal Behavior and Assess Imminent Suicide Risk More Effectively. Front. Psychiatry 12:598923. doi: 10.3389/fpsyt.2021.598923</w:t>
      </w:r>
    </w:p>
    <w:p w14:paraId="7786562F" w14:textId="77777777" w:rsidR="00DC4401" w:rsidRPr="00A312D9" w:rsidRDefault="00DC4401" w:rsidP="00DC4401">
      <w:pPr>
        <w:ind w:left="720" w:hanging="720"/>
        <w:rPr>
          <w:rFonts w:ascii="Arial" w:hAnsi="Arial" w:cs="Arial"/>
        </w:rPr>
      </w:pPr>
      <w:r w:rsidRPr="00A312D9">
        <w:rPr>
          <w:rFonts w:ascii="Arial" w:hAnsi="Arial" w:cs="Arial"/>
        </w:rPr>
        <w:t>Ward-Ciesielski, E. F., &amp; Rizvi, S. L. (2021). The potential iatrogenic effects of psychiatric hospitalization for suicidal behavior: A critical review and recom mendations for research. Clinical Psychology: Science and Practice, 28(1), 60.</w:t>
      </w:r>
    </w:p>
    <w:p w14:paraId="77A54740" w14:textId="77777777" w:rsidR="00DC4401" w:rsidRPr="00A312D9" w:rsidRDefault="00DC4401" w:rsidP="00DC4401">
      <w:pPr>
        <w:ind w:left="720" w:hanging="720"/>
        <w:rPr>
          <w:rFonts w:ascii="Arial" w:hAnsi="Arial" w:cs="Arial"/>
          <w:lang w:val="fr-FR"/>
        </w:rPr>
      </w:pPr>
      <w:r w:rsidRPr="00A312D9">
        <w:rPr>
          <w:rFonts w:ascii="Arial" w:hAnsi="Arial" w:cs="Arial"/>
        </w:rPr>
        <w:t>World Health Organization. (2024, August 29). </w:t>
      </w:r>
      <w:r w:rsidRPr="00A312D9">
        <w:rPr>
          <w:rFonts w:ascii="Arial" w:hAnsi="Arial" w:cs="Arial"/>
          <w:i/>
          <w:iCs/>
        </w:rPr>
        <w:t>Suicide</w:t>
      </w:r>
      <w:r w:rsidRPr="00A312D9">
        <w:rPr>
          <w:rFonts w:ascii="Arial" w:hAnsi="Arial" w:cs="Arial"/>
        </w:rPr>
        <w:t>. </w:t>
      </w:r>
      <w:hyperlink r:id="rId18" w:tgtFrame="_blank" w:history="1">
        <w:r w:rsidRPr="00A312D9">
          <w:rPr>
            <w:rStyle w:val="Hyperlink"/>
            <w:rFonts w:ascii="Arial" w:hAnsi="Arial" w:cs="Arial"/>
            <w:lang w:val="fr-FR"/>
          </w:rPr>
          <w:t>https://www.who.int/news-room/fact-sheets/detail/suicide</w:t>
        </w:r>
      </w:hyperlink>
    </w:p>
    <w:p w14:paraId="1AAB5DF6" w14:textId="77777777" w:rsidR="00DC4401" w:rsidRPr="00A312D9" w:rsidRDefault="00DC4401" w:rsidP="00DC4401">
      <w:pPr>
        <w:ind w:left="720" w:hanging="720"/>
        <w:rPr>
          <w:rFonts w:ascii="Arial" w:hAnsi="Arial" w:cs="Arial"/>
        </w:rPr>
      </w:pPr>
      <w:r w:rsidRPr="00A312D9">
        <w:rPr>
          <w:rFonts w:ascii="Arial" w:hAnsi="Arial" w:cs="Arial"/>
          <w:lang w:val="fr-FR"/>
        </w:rPr>
        <w:t xml:space="preserve">Wu, H., Lu, L., Qian, Y., Jin, X. H., Yu, H. R., Du, L., ... </w:t>
      </w:r>
      <w:r w:rsidRPr="00A312D9">
        <w:rPr>
          <w:rFonts w:ascii="Arial" w:hAnsi="Arial" w:cs="Arial"/>
        </w:rPr>
        <w:t>&amp; Chen, H. L. (2022). The significance of cognitive-behavioral therapy on suicide: An umbrella review. </w:t>
      </w:r>
      <w:r w:rsidRPr="00A312D9">
        <w:rPr>
          <w:rFonts w:ascii="Arial" w:hAnsi="Arial" w:cs="Arial"/>
          <w:i/>
          <w:iCs/>
        </w:rPr>
        <w:t>Journal of affective disorders</w:t>
      </w:r>
      <w:r w:rsidRPr="00A312D9">
        <w:rPr>
          <w:rFonts w:ascii="Arial" w:hAnsi="Arial" w:cs="Arial"/>
        </w:rPr>
        <w:t>, </w:t>
      </w:r>
      <w:r w:rsidRPr="00A312D9">
        <w:rPr>
          <w:rFonts w:ascii="Arial" w:hAnsi="Arial" w:cs="Arial"/>
          <w:i/>
          <w:iCs/>
        </w:rPr>
        <w:t>317</w:t>
      </w:r>
      <w:r w:rsidRPr="00A312D9">
        <w:rPr>
          <w:rFonts w:ascii="Arial" w:hAnsi="Arial" w:cs="Arial"/>
        </w:rPr>
        <w:t>, 142-148.</w:t>
      </w:r>
    </w:p>
    <w:p w14:paraId="3B4055A6" w14:textId="77777777" w:rsidR="00DC4401" w:rsidRPr="00A312D9" w:rsidRDefault="00DC4401" w:rsidP="00DC4401">
      <w:pPr>
        <w:ind w:left="720" w:hanging="720"/>
        <w:rPr>
          <w:rFonts w:ascii="Arial" w:hAnsi="Arial" w:cs="Arial"/>
        </w:rPr>
      </w:pPr>
      <w:r w:rsidRPr="00A312D9">
        <w:rPr>
          <w:rFonts w:ascii="Arial" w:hAnsi="Arial" w:cs="Arial"/>
        </w:rPr>
        <w:t>Yiu, H. W., Rowe, S., &amp; Wood, L. (2021). A systematic review and meta-analysis of psychosocial interventions aiming to reduce risks of suicide and self-harm in psychiatric inpatients. </w:t>
      </w:r>
      <w:r w:rsidRPr="00A312D9">
        <w:rPr>
          <w:rFonts w:ascii="Arial" w:hAnsi="Arial" w:cs="Arial"/>
          <w:i/>
          <w:iCs/>
        </w:rPr>
        <w:t>Psychiatry research</w:t>
      </w:r>
      <w:r w:rsidRPr="00A312D9">
        <w:rPr>
          <w:rFonts w:ascii="Arial" w:hAnsi="Arial" w:cs="Arial"/>
        </w:rPr>
        <w:t>, </w:t>
      </w:r>
      <w:r w:rsidRPr="00A312D9">
        <w:rPr>
          <w:rFonts w:ascii="Arial" w:hAnsi="Arial" w:cs="Arial"/>
          <w:i/>
          <w:iCs/>
        </w:rPr>
        <w:t>305</w:t>
      </w:r>
      <w:r w:rsidRPr="00A312D9">
        <w:rPr>
          <w:rFonts w:ascii="Arial" w:hAnsi="Arial" w:cs="Arial"/>
        </w:rPr>
        <w:t>, 114175.</w:t>
      </w:r>
    </w:p>
    <w:p w14:paraId="2E228C62" w14:textId="77777777" w:rsidR="00DC4401" w:rsidRPr="00A312D9" w:rsidRDefault="00DC4401" w:rsidP="00DC4401">
      <w:pPr>
        <w:rPr>
          <w:rFonts w:ascii="Arial" w:hAnsi="Arial" w:cs="Arial"/>
        </w:rPr>
      </w:pPr>
    </w:p>
    <w:p w14:paraId="0B46EB7A" w14:textId="77777777" w:rsidR="00DC4401" w:rsidRDefault="00DC4401" w:rsidP="00AE07EC">
      <w:pPr>
        <w:jc w:val="center"/>
        <w:rPr>
          <w:rFonts w:ascii="Arial" w:hAnsi="Arial" w:cs="Arial"/>
          <w:b/>
          <w:bCs/>
        </w:rPr>
      </w:pPr>
    </w:p>
    <w:p w14:paraId="56B89308" w14:textId="51FF2ADD" w:rsidR="00346D78" w:rsidRPr="00346D78" w:rsidRDefault="00346D78" w:rsidP="00AE07EC">
      <w:pPr>
        <w:jc w:val="center"/>
        <w:rPr>
          <w:rFonts w:ascii="Arial" w:hAnsi="Arial" w:cs="Arial"/>
        </w:rPr>
      </w:pPr>
      <w:r>
        <w:rPr>
          <w:rFonts w:ascii="Arial" w:hAnsi="Arial" w:cs="Arial"/>
        </w:rPr>
        <w:br w:type="page"/>
      </w:r>
    </w:p>
    <w:p w14:paraId="72E9BEBD" w14:textId="77777777" w:rsidR="00346D78" w:rsidRPr="00D13E22" w:rsidRDefault="00346D78" w:rsidP="00346D78">
      <w:pPr>
        <w:spacing w:line="240" w:lineRule="auto"/>
        <w:contextualSpacing/>
        <w:rPr>
          <w:rFonts w:ascii="Times New Roman" w:hAnsi="Times New Roman" w:cs="Times New Roman"/>
          <w:b/>
          <w:bCs/>
        </w:rPr>
      </w:pPr>
      <w:r w:rsidRPr="00D13E22">
        <w:rPr>
          <w:rFonts w:ascii="Times New Roman" w:hAnsi="Times New Roman" w:cs="Times New Roman"/>
          <w:b/>
          <w:bCs/>
        </w:rPr>
        <w:lastRenderedPageBreak/>
        <w:t>Table 1</w:t>
      </w:r>
    </w:p>
    <w:p w14:paraId="0C475173" w14:textId="77777777" w:rsidR="00346D78" w:rsidRPr="00477BF8" w:rsidRDefault="00346D78" w:rsidP="00346D78">
      <w:pPr>
        <w:spacing w:line="240" w:lineRule="auto"/>
        <w:contextualSpacing/>
        <w:rPr>
          <w:rFonts w:ascii="Times New Roman" w:hAnsi="Times New Roman" w:cs="Times New Roman"/>
          <w:i/>
          <w:iCs/>
        </w:rPr>
      </w:pPr>
      <w:r>
        <w:rPr>
          <w:rFonts w:ascii="Times New Roman" w:hAnsi="Times New Roman" w:cs="Times New Roman"/>
          <w:i/>
          <w:iCs/>
        </w:rPr>
        <w:t>Treatment Response &amp; Non-Response Rates Across Multiple Outcome Domains</w:t>
      </w:r>
    </w:p>
    <w:tbl>
      <w:tblPr>
        <w:tblStyle w:val="PlainTable2"/>
        <w:tblW w:w="0" w:type="auto"/>
        <w:tblLook w:val="04A0" w:firstRow="1" w:lastRow="0" w:firstColumn="1" w:lastColumn="0" w:noHBand="0" w:noVBand="1"/>
      </w:tblPr>
      <w:tblGrid>
        <w:gridCol w:w="3197"/>
        <w:gridCol w:w="1463"/>
        <w:gridCol w:w="1136"/>
        <w:gridCol w:w="1769"/>
        <w:gridCol w:w="1795"/>
      </w:tblGrid>
      <w:tr w:rsidR="00346D78" w:rsidRPr="000A5591" w14:paraId="04C8F68A" w14:textId="77777777" w:rsidTr="00A17021">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680" w:type="dxa"/>
            <w:tcBorders>
              <w:top w:val="single" w:sz="4" w:space="0" w:color="auto"/>
              <w:bottom w:val="single" w:sz="4" w:space="0" w:color="auto"/>
            </w:tcBorders>
            <w:vAlign w:val="center"/>
            <w:hideMark/>
          </w:tcPr>
          <w:p w14:paraId="270C54C3" w14:textId="77777777" w:rsidR="00346D78" w:rsidRPr="000A5591" w:rsidRDefault="00346D78" w:rsidP="00A17021">
            <w:pPr>
              <w:contextualSpacing/>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Treatment Condition</w:t>
            </w:r>
          </w:p>
        </w:tc>
        <w:tc>
          <w:tcPr>
            <w:tcW w:w="1714" w:type="dxa"/>
            <w:tcBorders>
              <w:top w:val="single" w:sz="4" w:space="0" w:color="auto"/>
              <w:bottom w:val="single" w:sz="4" w:space="0" w:color="auto"/>
            </w:tcBorders>
            <w:vAlign w:val="center"/>
            <w:hideMark/>
          </w:tcPr>
          <w:p w14:paraId="1F1C8838" w14:textId="77777777" w:rsidR="00346D78" w:rsidRPr="000A5591" w:rsidRDefault="00346D78" w:rsidP="00A17021">
            <w:pPr>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Non-Response Rate (%)</w:t>
            </w:r>
          </w:p>
        </w:tc>
        <w:tc>
          <w:tcPr>
            <w:tcW w:w="0" w:type="auto"/>
            <w:tcBorders>
              <w:top w:val="single" w:sz="4" w:space="0" w:color="auto"/>
              <w:bottom w:val="single" w:sz="4" w:space="0" w:color="auto"/>
            </w:tcBorders>
            <w:vAlign w:val="center"/>
            <w:hideMark/>
          </w:tcPr>
          <w:p w14:paraId="24A29BD8" w14:textId="77777777" w:rsidR="00346D78" w:rsidRPr="000A5591" w:rsidRDefault="00346D78" w:rsidP="00A17021">
            <w:pPr>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Partial Response (P) (%)</w:t>
            </w:r>
          </w:p>
        </w:tc>
        <w:tc>
          <w:tcPr>
            <w:tcW w:w="2256" w:type="dxa"/>
            <w:tcBorders>
              <w:top w:val="single" w:sz="4" w:space="0" w:color="auto"/>
              <w:bottom w:val="single" w:sz="4" w:space="0" w:color="auto"/>
            </w:tcBorders>
            <w:vAlign w:val="center"/>
            <w:hideMark/>
          </w:tcPr>
          <w:p w14:paraId="0D417C99" w14:textId="77777777" w:rsidR="00346D78" w:rsidRPr="000A5591" w:rsidRDefault="00346D78" w:rsidP="00A17021">
            <w:pPr>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Full Response (F) (%)</w:t>
            </w:r>
          </w:p>
        </w:tc>
        <w:tc>
          <w:tcPr>
            <w:tcW w:w="2250" w:type="dxa"/>
            <w:tcBorders>
              <w:top w:val="single" w:sz="4" w:space="0" w:color="auto"/>
              <w:bottom w:val="single" w:sz="4" w:space="0" w:color="auto"/>
            </w:tcBorders>
            <w:vAlign w:val="center"/>
            <w:hideMark/>
          </w:tcPr>
          <w:p w14:paraId="2455A5DE" w14:textId="77777777" w:rsidR="00346D78" w:rsidRPr="000A5591" w:rsidRDefault="00346D78" w:rsidP="00A17021">
            <w:pPr>
              <w:contextual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Positive Treatment Response (%)</w:t>
            </w:r>
          </w:p>
        </w:tc>
      </w:tr>
      <w:tr w:rsidR="00346D78" w:rsidRPr="000A5591" w14:paraId="6A521644" w14:textId="77777777" w:rsidTr="00A17021">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680" w:type="dxa"/>
            <w:tcBorders>
              <w:top w:val="single" w:sz="4" w:space="0" w:color="auto"/>
              <w:bottom w:val="nil"/>
            </w:tcBorders>
            <w:vAlign w:val="center"/>
            <w:hideMark/>
          </w:tcPr>
          <w:p w14:paraId="2CA6CB26" w14:textId="77777777" w:rsidR="00346D78" w:rsidRDefault="00346D78" w:rsidP="00A17021">
            <w:pPr>
              <w:rPr>
                <w:rFonts w:eastAsia="Times New Roman" w:cs="Times New Roman"/>
                <w:color w:val="000000"/>
                <w:kern w:val="0"/>
                <w14:ligatures w14:val="none"/>
              </w:rPr>
            </w:pPr>
            <w:r w:rsidRPr="000A5591">
              <w:rPr>
                <w:rFonts w:eastAsia="Times New Roman" w:cs="Times New Roman"/>
                <w:b w:val="0"/>
                <w:bCs w:val="0"/>
                <w:color w:val="000000"/>
                <w:kern w:val="0"/>
                <w14:ligatures w14:val="none"/>
              </w:rPr>
              <w:t xml:space="preserve">Suicide Ideation as a Single Indicator </w:t>
            </w:r>
          </w:p>
          <w:p w14:paraId="15CC416E"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w:t>
            </w:r>
            <w:r w:rsidRPr="000A5591">
              <w:rPr>
                <w:rFonts w:eastAsia="Times New Roman" w:cs="Times New Roman"/>
                <w:b w:val="0"/>
                <w:bCs w:val="0"/>
                <w:i/>
                <w:iCs/>
                <w:color w:val="000000"/>
                <w:kern w:val="0"/>
                <w14:ligatures w14:val="none"/>
              </w:rPr>
              <w:t>N</w:t>
            </w:r>
            <w:r w:rsidRPr="000A5591">
              <w:rPr>
                <w:rFonts w:eastAsia="Times New Roman" w:cs="Times New Roman"/>
                <w:b w:val="0"/>
                <w:bCs w:val="0"/>
                <w:color w:val="000000"/>
                <w:kern w:val="0"/>
                <w14:ligatures w14:val="none"/>
              </w:rPr>
              <w:t> = 200)**</w:t>
            </w:r>
          </w:p>
        </w:tc>
        <w:tc>
          <w:tcPr>
            <w:tcW w:w="1714" w:type="dxa"/>
            <w:tcBorders>
              <w:top w:val="single" w:sz="4" w:space="0" w:color="auto"/>
              <w:bottom w:val="nil"/>
            </w:tcBorders>
            <w:hideMark/>
          </w:tcPr>
          <w:p w14:paraId="57F6DD85" w14:textId="77777777" w:rsidR="00346D78" w:rsidRPr="000A5591" w:rsidRDefault="00346D78" w:rsidP="00A17021">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p>
        </w:tc>
        <w:tc>
          <w:tcPr>
            <w:tcW w:w="0" w:type="auto"/>
            <w:tcBorders>
              <w:top w:val="single" w:sz="4" w:space="0" w:color="auto"/>
              <w:bottom w:val="nil"/>
            </w:tcBorders>
            <w:hideMark/>
          </w:tcPr>
          <w:p w14:paraId="349D18E0" w14:textId="77777777" w:rsidR="00346D78" w:rsidRPr="000A5591" w:rsidRDefault="00346D78" w:rsidP="00A17021">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14:ligatures w14:val="none"/>
              </w:rPr>
            </w:pPr>
          </w:p>
        </w:tc>
        <w:tc>
          <w:tcPr>
            <w:tcW w:w="2256" w:type="dxa"/>
            <w:tcBorders>
              <w:top w:val="single" w:sz="4" w:space="0" w:color="auto"/>
              <w:bottom w:val="nil"/>
            </w:tcBorders>
            <w:hideMark/>
          </w:tcPr>
          <w:p w14:paraId="09D00FE3" w14:textId="77777777" w:rsidR="00346D78" w:rsidRPr="000A5591" w:rsidRDefault="00346D78" w:rsidP="00A17021">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14:ligatures w14:val="none"/>
              </w:rPr>
            </w:pPr>
          </w:p>
        </w:tc>
        <w:tc>
          <w:tcPr>
            <w:tcW w:w="2250" w:type="dxa"/>
            <w:tcBorders>
              <w:top w:val="single" w:sz="4" w:space="0" w:color="auto"/>
              <w:bottom w:val="nil"/>
            </w:tcBorders>
            <w:hideMark/>
          </w:tcPr>
          <w:p w14:paraId="0DFE2806" w14:textId="77777777" w:rsidR="00346D78" w:rsidRPr="000A5591" w:rsidRDefault="00346D78" w:rsidP="00A17021">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14:ligatures w14:val="none"/>
              </w:rPr>
            </w:pPr>
          </w:p>
        </w:tc>
      </w:tr>
      <w:tr w:rsidR="00346D78" w:rsidRPr="000A5591" w14:paraId="1126BA2D" w14:textId="77777777" w:rsidTr="00A17021">
        <w:trPr>
          <w:trHeight w:val="531"/>
        </w:trPr>
        <w:tc>
          <w:tcPr>
            <w:cnfStyle w:val="001000000000" w:firstRow="0" w:lastRow="0" w:firstColumn="1" w:lastColumn="0" w:oddVBand="0" w:evenVBand="0" w:oddHBand="0" w:evenHBand="0" w:firstRowFirstColumn="0" w:firstRowLastColumn="0" w:lastRowFirstColumn="0" w:lastRowLastColumn="0"/>
            <w:tcW w:w="4680" w:type="dxa"/>
            <w:tcBorders>
              <w:top w:val="nil"/>
              <w:bottom w:val="nil"/>
            </w:tcBorders>
            <w:vAlign w:val="center"/>
            <w:hideMark/>
          </w:tcPr>
          <w:p w14:paraId="6A2D0F5C"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Treatment as usual (TAU)</w:t>
            </w:r>
          </w:p>
        </w:tc>
        <w:tc>
          <w:tcPr>
            <w:tcW w:w="1714" w:type="dxa"/>
            <w:tcBorders>
              <w:top w:val="nil"/>
              <w:bottom w:val="nil"/>
            </w:tcBorders>
            <w:vAlign w:val="center"/>
            <w:hideMark/>
          </w:tcPr>
          <w:p w14:paraId="5DB32266"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38</w:t>
            </w:r>
          </w:p>
        </w:tc>
        <w:tc>
          <w:tcPr>
            <w:tcW w:w="0" w:type="auto"/>
            <w:tcBorders>
              <w:top w:val="nil"/>
              <w:bottom w:val="nil"/>
            </w:tcBorders>
            <w:vAlign w:val="center"/>
            <w:hideMark/>
          </w:tcPr>
          <w:p w14:paraId="3C3B8510"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6" w:type="dxa"/>
            <w:tcBorders>
              <w:top w:val="nil"/>
              <w:bottom w:val="nil"/>
            </w:tcBorders>
            <w:vAlign w:val="center"/>
            <w:hideMark/>
          </w:tcPr>
          <w:p w14:paraId="526C80C4"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0" w:type="dxa"/>
            <w:tcBorders>
              <w:top w:val="nil"/>
              <w:bottom w:val="nil"/>
            </w:tcBorders>
            <w:vAlign w:val="center"/>
            <w:hideMark/>
          </w:tcPr>
          <w:p w14:paraId="2794C3C2"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62</w:t>
            </w:r>
          </w:p>
        </w:tc>
      </w:tr>
      <w:tr w:rsidR="00346D78" w:rsidRPr="000A5591" w14:paraId="347F5850" w14:textId="77777777" w:rsidTr="00A17021">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680" w:type="dxa"/>
            <w:tcBorders>
              <w:top w:val="nil"/>
              <w:bottom w:val="single" w:sz="4" w:space="0" w:color="auto"/>
            </w:tcBorders>
            <w:vAlign w:val="center"/>
            <w:hideMark/>
          </w:tcPr>
          <w:p w14:paraId="15C11BE1"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TAU + BCBT-I</w:t>
            </w:r>
          </w:p>
        </w:tc>
        <w:tc>
          <w:tcPr>
            <w:tcW w:w="1714" w:type="dxa"/>
            <w:tcBorders>
              <w:top w:val="nil"/>
              <w:bottom w:val="single" w:sz="4" w:space="0" w:color="auto"/>
            </w:tcBorders>
            <w:vAlign w:val="center"/>
            <w:hideMark/>
          </w:tcPr>
          <w:p w14:paraId="2C573DD0"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7</w:t>
            </w:r>
          </w:p>
        </w:tc>
        <w:tc>
          <w:tcPr>
            <w:tcW w:w="0" w:type="auto"/>
            <w:tcBorders>
              <w:top w:val="nil"/>
              <w:bottom w:val="single" w:sz="4" w:space="0" w:color="auto"/>
            </w:tcBorders>
            <w:vAlign w:val="center"/>
            <w:hideMark/>
          </w:tcPr>
          <w:p w14:paraId="29EB1B72"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6" w:type="dxa"/>
            <w:tcBorders>
              <w:top w:val="nil"/>
              <w:bottom w:val="single" w:sz="4" w:space="0" w:color="auto"/>
            </w:tcBorders>
            <w:vAlign w:val="center"/>
            <w:hideMark/>
          </w:tcPr>
          <w:p w14:paraId="3B88B7CF"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0" w:type="dxa"/>
            <w:tcBorders>
              <w:top w:val="nil"/>
              <w:bottom w:val="single" w:sz="4" w:space="0" w:color="auto"/>
            </w:tcBorders>
            <w:vAlign w:val="center"/>
            <w:hideMark/>
          </w:tcPr>
          <w:p w14:paraId="07006069"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93</w:t>
            </w:r>
          </w:p>
        </w:tc>
      </w:tr>
      <w:tr w:rsidR="00346D78" w:rsidRPr="000A5591" w14:paraId="3B8E2188" w14:textId="77777777" w:rsidTr="00A17021">
        <w:trPr>
          <w:trHeight w:val="800"/>
        </w:trPr>
        <w:tc>
          <w:tcPr>
            <w:cnfStyle w:val="001000000000" w:firstRow="0" w:lastRow="0" w:firstColumn="1" w:lastColumn="0" w:oddVBand="0" w:evenVBand="0" w:oddHBand="0" w:evenHBand="0" w:firstRowFirstColumn="0" w:firstRowLastColumn="0" w:lastRowFirstColumn="0" w:lastRowLastColumn="0"/>
            <w:tcW w:w="4680" w:type="dxa"/>
            <w:tcBorders>
              <w:top w:val="single" w:sz="4" w:space="0" w:color="auto"/>
              <w:bottom w:val="nil"/>
            </w:tcBorders>
            <w:vAlign w:val="center"/>
            <w:hideMark/>
          </w:tcPr>
          <w:p w14:paraId="146BC96F" w14:textId="77777777" w:rsidR="00346D78" w:rsidRDefault="00346D78" w:rsidP="00A17021">
            <w:pPr>
              <w:rPr>
                <w:rFonts w:eastAsia="Times New Roman" w:cs="Times New Roman"/>
                <w:color w:val="000000"/>
                <w:kern w:val="0"/>
                <w14:ligatures w14:val="none"/>
              </w:rPr>
            </w:pPr>
            <w:r w:rsidRPr="000A5591">
              <w:rPr>
                <w:rFonts w:eastAsia="Times New Roman" w:cs="Times New Roman"/>
                <w:b w:val="0"/>
                <w:bCs w:val="0"/>
                <w:color w:val="000000"/>
                <w:kern w:val="0"/>
                <w14:ligatures w14:val="none"/>
              </w:rPr>
              <w:t xml:space="preserve">Suicide Attempt as a Single Indicator </w:t>
            </w:r>
          </w:p>
          <w:p w14:paraId="061B6F09"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w:t>
            </w:r>
            <w:r w:rsidRPr="000A5591">
              <w:rPr>
                <w:rFonts w:eastAsia="Times New Roman" w:cs="Times New Roman"/>
                <w:b w:val="0"/>
                <w:bCs w:val="0"/>
                <w:i/>
                <w:iCs/>
                <w:color w:val="000000"/>
                <w:kern w:val="0"/>
                <w14:ligatures w14:val="none"/>
              </w:rPr>
              <w:t>N</w:t>
            </w:r>
            <w:r w:rsidRPr="000A5591">
              <w:rPr>
                <w:rFonts w:eastAsia="Times New Roman" w:cs="Times New Roman"/>
                <w:b w:val="0"/>
                <w:bCs w:val="0"/>
                <w:color w:val="000000"/>
                <w:kern w:val="0"/>
                <w14:ligatures w14:val="none"/>
              </w:rPr>
              <w:t> = 200)**</w:t>
            </w:r>
          </w:p>
        </w:tc>
        <w:tc>
          <w:tcPr>
            <w:tcW w:w="1714" w:type="dxa"/>
            <w:tcBorders>
              <w:top w:val="single" w:sz="4" w:space="0" w:color="auto"/>
              <w:bottom w:val="nil"/>
            </w:tcBorders>
            <w:vAlign w:val="center"/>
            <w:hideMark/>
          </w:tcPr>
          <w:p w14:paraId="657F5939"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p>
        </w:tc>
        <w:tc>
          <w:tcPr>
            <w:tcW w:w="0" w:type="auto"/>
            <w:tcBorders>
              <w:top w:val="single" w:sz="4" w:space="0" w:color="auto"/>
              <w:bottom w:val="nil"/>
            </w:tcBorders>
            <w:vAlign w:val="center"/>
            <w:hideMark/>
          </w:tcPr>
          <w:p w14:paraId="618EDF4F"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p>
        </w:tc>
        <w:tc>
          <w:tcPr>
            <w:tcW w:w="2256" w:type="dxa"/>
            <w:tcBorders>
              <w:top w:val="single" w:sz="4" w:space="0" w:color="auto"/>
              <w:bottom w:val="nil"/>
            </w:tcBorders>
            <w:vAlign w:val="center"/>
            <w:hideMark/>
          </w:tcPr>
          <w:p w14:paraId="4119C05A"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p>
        </w:tc>
        <w:tc>
          <w:tcPr>
            <w:tcW w:w="2250" w:type="dxa"/>
            <w:tcBorders>
              <w:top w:val="single" w:sz="4" w:space="0" w:color="auto"/>
              <w:bottom w:val="nil"/>
            </w:tcBorders>
            <w:vAlign w:val="center"/>
            <w:hideMark/>
          </w:tcPr>
          <w:p w14:paraId="13F510B1"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p>
        </w:tc>
      </w:tr>
      <w:tr w:rsidR="00346D78" w:rsidRPr="000A5591" w14:paraId="75B89DA4" w14:textId="77777777" w:rsidTr="00A17021">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4680" w:type="dxa"/>
            <w:tcBorders>
              <w:top w:val="nil"/>
              <w:bottom w:val="nil"/>
            </w:tcBorders>
            <w:vAlign w:val="center"/>
            <w:hideMark/>
          </w:tcPr>
          <w:p w14:paraId="56A91FF8"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Treatment as usual (TAU)</w:t>
            </w:r>
          </w:p>
        </w:tc>
        <w:tc>
          <w:tcPr>
            <w:tcW w:w="1714" w:type="dxa"/>
            <w:tcBorders>
              <w:top w:val="nil"/>
              <w:bottom w:val="nil"/>
            </w:tcBorders>
            <w:vAlign w:val="center"/>
            <w:hideMark/>
          </w:tcPr>
          <w:p w14:paraId="313C4476"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31</w:t>
            </w:r>
          </w:p>
        </w:tc>
        <w:tc>
          <w:tcPr>
            <w:tcW w:w="0" w:type="auto"/>
            <w:tcBorders>
              <w:top w:val="nil"/>
              <w:bottom w:val="nil"/>
            </w:tcBorders>
            <w:vAlign w:val="center"/>
            <w:hideMark/>
          </w:tcPr>
          <w:p w14:paraId="701B34C3"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6" w:type="dxa"/>
            <w:tcBorders>
              <w:top w:val="nil"/>
              <w:bottom w:val="nil"/>
            </w:tcBorders>
            <w:vAlign w:val="center"/>
            <w:hideMark/>
          </w:tcPr>
          <w:p w14:paraId="5EC40B22"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0" w:type="dxa"/>
            <w:tcBorders>
              <w:top w:val="nil"/>
              <w:bottom w:val="nil"/>
            </w:tcBorders>
            <w:vAlign w:val="center"/>
            <w:hideMark/>
          </w:tcPr>
          <w:p w14:paraId="21EBFF94"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69</w:t>
            </w:r>
          </w:p>
        </w:tc>
      </w:tr>
      <w:tr w:rsidR="00346D78" w:rsidRPr="000A5591" w14:paraId="359B9E08" w14:textId="77777777" w:rsidTr="00A17021">
        <w:trPr>
          <w:trHeight w:val="360"/>
        </w:trPr>
        <w:tc>
          <w:tcPr>
            <w:cnfStyle w:val="001000000000" w:firstRow="0" w:lastRow="0" w:firstColumn="1" w:lastColumn="0" w:oddVBand="0" w:evenVBand="0" w:oddHBand="0" w:evenHBand="0" w:firstRowFirstColumn="0" w:firstRowLastColumn="0" w:lastRowFirstColumn="0" w:lastRowLastColumn="0"/>
            <w:tcW w:w="4680" w:type="dxa"/>
            <w:tcBorders>
              <w:top w:val="nil"/>
              <w:bottom w:val="single" w:sz="4" w:space="0" w:color="auto"/>
            </w:tcBorders>
            <w:vAlign w:val="center"/>
            <w:hideMark/>
          </w:tcPr>
          <w:p w14:paraId="4684845B"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TAU + BCBT-I</w:t>
            </w:r>
          </w:p>
        </w:tc>
        <w:tc>
          <w:tcPr>
            <w:tcW w:w="1714" w:type="dxa"/>
            <w:tcBorders>
              <w:top w:val="nil"/>
              <w:bottom w:val="single" w:sz="4" w:space="0" w:color="auto"/>
            </w:tcBorders>
            <w:vAlign w:val="center"/>
            <w:hideMark/>
          </w:tcPr>
          <w:p w14:paraId="64D66090"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16</w:t>
            </w:r>
          </w:p>
        </w:tc>
        <w:tc>
          <w:tcPr>
            <w:tcW w:w="0" w:type="auto"/>
            <w:tcBorders>
              <w:top w:val="nil"/>
              <w:bottom w:val="single" w:sz="4" w:space="0" w:color="auto"/>
            </w:tcBorders>
            <w:vAlign w:val="center"/>
            <w:hideMark/>
          </w:tcPr>
          <w:p w14:paraId="0F43556C"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6" w:type="dxa"/>
            <w:tcBorders>
              <w:top w:val="nil"/>
              <w:bottom w:val="single" w:sz="4" w:space="0" w:color="auto"/>
            </w:tcBorders>
            <w:vAlign w:val="center"/>
            <w:hideMark/>
          </w:tcPr>
          <w:p w14:paraId="2530D34C"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w:t>
            </w:r>
          </w:p>
        </w:tc>
        <w:tc>
          <w:tcPr>
            <w:tcW w:w="2250" w:type="dxa"/>
            <w:tcBorders>
              <w:top w:val="nil"/>
              <w:bottom w:val="single" w:sz="4" w:space="0" w:color="auto"/>
            </w:tcBorders>
            <w:vAlign w:val="center"/>
            <w:hideMark/>
          </w:tcPr>
          <w:p w14:paraId="5D26D3E3"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84</w:t>
            </w:r>
          </w:p>
        </w:tc>
      </w:tr>
      <w:tr w:rsidR="00346D78" w:rsidRPr="000A5591" w14:paraId="56981FD5" w14:textId="77777777" w:rsidTr="00A17021">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4680" w:type="dxa"/>
            <w:tcBorders>
              <w:top w:val="single" w:sz="4" w:space="0" w:color="auto"/>
              <w:bottom w:val="nil"/>
            </w:tcBorders>
            <w:vAlign w:val="center"/>
            <w:hideMark/>
          </w:tcPr>
          <w:p w14:paraId="2E0A6855"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Suicide Ideation and Attempts Combined (</w:t>
            </w:r>
            <w:r w:rsidRPr="000A5591">
              <w:rPr>
                <w:rFonts w:eastAsia="Times New Roman" w:cs="Times New Roman"/>
                <w:b w:val="0"/>
                <w:bCs w:val="0"/>
                <w:i/>
                <w:iCs/>
                <w:color w:val="000000"/>
                <w:kern w:val="0"/>
                <w14:ligatures w14:val="none"/>
              </w:rPr>
              <w:t>N</w:t>
            </w:r>
            <w:r w:rsidRPr="000A5591">
              <w:rPr>
                <w:rFonts w:eastAsia="Times New Roman" w:cs="Times New Roman"/>
                <w:b w:val="0"/>
                <w:bCs w:val="0"/>
                <w:color w:val="000000"/>
                <w:kern w:val="0"/>
                <w14:ligatures w14:val="none"/>
              </w:rPr>
              <w:t> = 133)**</w:t>
            </w:r>
          </w:p>
        </w:tc>
        <w:tc>
          <w:tcPr>
            <w:tcW w:w="1714" w:type="dxa"/>
            <w:tcBorders>
              <w:top w:val="single" w:sz="4" w:space="0" w:color="auto"/>
              <w:bottom w:val="nil"/>
            </w:tcBorders>
            <w:vAlign w:val="center"/>
            <w:hideMark/>
          </w:tcPr>
          <w:p w14:paraId="60514D09"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p>
        </w:tc>
        <w:tc>
          <w:tcPr>
            <w:tcW w:w="0" w:type="auto"/>
            <w:tcBorders>
              <w:top w:val="single" w:sz="4" w:space="0" w:color="auto"/>
              <w:bottom w:val="nil"/>
            </w:tcBorders>
            <w:vAlign w:val="center"/>
            <w:hideMark/>
          </w:tcPr>
          <w:p w14:paraId="2A05290A"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14:ligatures w14:val="none"/>
              </w:rPr>
            </w:pPr>
          </w:p>
        </w:tc>
        <w:tc>
          <w:tcPr>
            <w:tcW w:w="2256" w:type="dxa"/>
            <w:tcBorders>
              <w:top w:val="single" w:sz="4" w:space="0" w:color="auto"/>
              <w:bottom w:val="nil"/>
            </w:tcBorders>
            <w:vAlign w:val="center"/>
            <w:hideMark/>
          </w:tcPr>
          <w:p w14:paraId="23042526"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14:ligatures w14:val="none"/>
              </w:rPr>
            </w:pPr>
          </w:p>
        </w:tc>
        <w:tc>
          <w:tcPr>
            <w:tcW w:w="2250" w:type="dxa"/>
            <w:tcBorders>
              <w:top w:val="single" w:sz="4" w:space="0" w:color="auto"/>
              <w:bottom w:val="nil"/>
            </w:tcBorders>
            <w:vAlign w:val="center"/>
            <w:hideMark/>
          </w:tcPr>
          <w:p w14:paraId="7111E557"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14:ligatures w14:val="none"/>
              </w:rPr>
            </w:pPr>
          </w:p>
        </w:tc>
      </w:tr>
      <w:tr w:rsidR="00346D78" w:rsidRPr="000A5591" w14:paraId="053C01D7" w14:textId="77777777" w:rsidTr="00A17021">
        <w:trPr>
          <w:trHeight w:val="531"/>
        </w:trPr>
        <w:tc>
          <w:tcPr>
            <w:cnfStyle w:val="001000000000" w:firstRow="0" w:lastRow="0" w:firstColumn="1" w:lastColumn="0" w:oddVBand="0" w:evenVBand="0" w:oddHBand="0" w:evenHBand="0" w:firstRowFirstColumn="0" w:firstRowLastColumn="0" w:lastRowFirstColumn="0" w:lastRowLastColumn="0"/>
            <w:tcW w:w="4680" w:type="dxa"/>
            <w:tcBorders>
              <w:top w:val="nil"/>
              <w:bottom w:val="nil"/>
            </w:tcBorders>
            <w:vAlign w:val="center"/>
            <w:hideMark/>
          </w:tcPr>
          <w:p w14:paraId="250A1781"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Treatment as usual (TAU)</w:t>
            </w:r>
          </w:p>
        </w:tc>
        <w:tc>
          <w:tcPr>
            <w:tcW w:w="1714" w:type="dxa"/>
            <w:tcBorders>
              <w:top w:val="nil"/>
              <w:bottom w:val="nil"/>
            </w:tcBorders>
            <w:vAlign w:val="center"/>
            <w:hideMark/>
          </w:tcPr>
          <w:p w14:paraId="0F3483A3"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19</w:t>
            </w:r>
          </w:p>
        </w:tc>
        <w:tc>
          <w:tcPr>
            <w:tcW w:w="0" w:type="auto"/>
            <w:tcBorders>
              <w:top w:val="nil"/>
              <w:bottom w:val="nil"/>
            </w:tcBorders>
            <w:vAlign w:val="center"/>
            <w:hideMark/>
          </w:tcPr>
          <w:p w14:paraId="6CAABA89"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46</w:t>
            </w:r>
          </w:p>
        </w:tc>
        <w:tc>
          <w:tcPr>
            <w:tcW w:w="2256" w:type="dxa"/>
            <w:tcBorders>
              <w:top w:val="nil"/>
              <w:bottom w:val="nil"/>
            </w:tcBorders>
            <w:vAlign w:val="center"/>
            <w:hideMark/>
          </w:tcPr>
          <w:p w14:paraId="6CC30E0E"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35</w:t>
            </w:r>
          </w:p>
        </w:tc>
        <w:tc>
          <w:tcPr>
            <w:tcW w:w="2250" w:type="dxa"/>
            <w:tcBorders>
              <w:top w:val="nil"/>
              <w:bottom w:val="nil"/>
            </w:tcBorders>
            <w:vAlign w:val="center"/>
            <w:hideMark/>
          </w:tcPr>
          <w:p w14:paraId="11FF2BB2"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81</w:t>
            </w:r>
          </w:p>
        </w:tc>
      </w:tr>
      <w:tr w:rsidR="00346D78" w:rsidRPr="000A5591" w14:paraId="7A9B3852" w14:textId="77777777" w:rsidTr="00A1702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680" w:type="dxa"/>
            <w:tcBorders>
              <w:top w:val="nil"/>
              <w:bottom w:val="single" w:sz="4" w:space="0" w:color="auto"/>
            </w:tcBorders>
            <w:vAlign w:val="center"/>
            <w:hideMark/>
          </w:tcPr>
          <w:p w14:paraId="6A1F5518"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TAU + BCBT-I</w:t>
            </w:r>
          </w:p>
        </w:tc>
        <w:tc>
          <w:tcPr>
            <w:tcW w:w="1714" w:type="dxa"/>
            <w:tcBorders>
              <w:top w:val="nil"/>
              <w:bottom w:val="single" w:sz="4" w:space="0" w:color="auto"/>
            </w:tcBorders>
            <w:vAlign w:val="center"/>
            <w:hideMark/>
          </w:tcPr>
          <w:p w14:paraId="4F105834"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11</w:t>
            </w:r>
          </w:p>
        </w:tc>
        <w:tc>
          <w:tcPr>
            <w:tcW w:w="0" w:type="auto"/>
            <w:tcBorders>
              <w:top w:val="nil"/>
              <w:bottom w:val="single" w:sz="4" w:space="0" w:color="auto"/>
            </w:tcBorders>
            <w:vAlign w:val="center"/>
            <w:hideMark/>
          </w:tcPr>
          <w:p w14:paraId="41149E9A"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32</w:t>
            </w:r>
          </w:p>
        </w:tc>
        <w:tc>
          <w:tcPr>
            <w:tcW w:w="2256" w:type="dxa"/>
            <w:tcBorders>
              <w:top w:val="nil"/>
              <w:bottom w:val="single" w:sz="4" w:space="0" w:color="auto"/>
            </w:tcBorders>
            <w:vAlign w:val="center"/>
            <w:hideMark/>
          </w:tcPr>
          <w:p w14:paraId="4F15605F"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57</w:t>
            </w:r>
          </w:p>
        </w:tc>
        <w:tc>
          <w:tcPr>
            <w:tcW w:w="2250" w:type="dxa"/>
            <w:tcBorders>
              <w:top w:val="nil"/>
              <w:bottom w:val="single" w:sz="4" w:space="0" w:color="auto"/>
            </w:tcBorders>
            <w:vAlign w:val="center"/>
            <w:hideMark/>
          </w:tcPr>
          <w:p w14:paraId="021F01F8"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89</w:t>
            </w:r>
          </w:p>
        </w:tc>
      </w:tr>
      <w:tr w:rsidR="00346D78" w:rsidRPr="000A5591" w14:paraId="1780F986" w14:textId="77777777" w:rsidTr="00A17021">
        <w:trPr>
          <w:trHeight w:val="791"/>
        </w:trPr>
        <w:tc>
          <w:tcPr>
            <w:cnfStyle w:val="001000000000" w:firstRow="0" w:lastRow="0" w:firstColumn="1" w:lastColumn="0" w:oddVBand="0" w:evenVBand="0" w:oddHBand="0" w:evenHBand="0" w:firstRowFirstColumn="0" w:firstRowLastColumn="0" w:lastRowFirstColumn="0" w:lastRowLastColumn="0"/>
            <w:tcW w:w="4680" w:type="dxa"/>
            <w:tcBorders>
              <w:top w:val="single" w:sz="4" w:space="0" w:color="auto"/>
              <w:bottom w:val="nil"/>
            </w:tcBorders>
            <w:vAlign w:val="center"/>
            <w:hideMark/>
          </w:tcPr>
          <w:p w14:paraId="2FCC8898"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Suicidal Ideation, Attempts, and Cognitions Combined (</w:t>
            </w:r>
            <w:r w:rsidRPr="000A5591">
              <w:rPr>
                <w:rFonts w:eastAsia="Times New Roman" w:cs="Times New Roman"/>
                <w:b w:val="0"/>
                <w:bCs w:val="0"/>
                <w:i/>
                <w:iCs/>
                <w:color w:val="000000"/>
                <w:kern w:val="0"/>
                <w14:ligatures w14:val="none"/>
              </w:rPr>
              <w:t>N</w:t>
            </w:r>
            <w:r w:rsidRPr="000A5591">
              <w:rPr>
                <w:rFonts w:eastAsia="Times New Roman" w:cs="Times New Roman"/>
                <w:b w:val="0"/>
                <w:bCs w:val="0"/>
                <w:color w:val="000000"/>
                <w:kern w:val="0"/>
                <w14:ligatures w14:val="none"/>
              </w:rPr>
              <w:t> = 83)*</w:t>
            </w:r>
          </w:p>
        </w:tc>
        <w:tc>
          <w:tcPr>
            <w:tcW w:w="1714" w:type="dxa"/>
            <w:tcBorders>
              <w:top w:val="single" w:sz="4" w:space="0" w:color="auto"/>
              <w:bottom w:val="nil"/>
            </w:tcBorders>
            <w:vAlign w:val="center"/>
            <w:hideMark/>
          </w:tcPr>
          <w:p w14:paraId="54A101DD"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p>
        </w:tc>
        <w:tc>
          <w:tcPr>
            <w:tcW w:w="0" w:type="auto"/>
            <w:tcBorders>
              <w:top w:val="single" w:sz="4" w:space="0" w:color="auto"/>
              <w:bottom w:val="nil"/>
            </w:tcBorders>
            <w:vAlign w:val="center"/>
            <w:hideMark/>
          </w:tcPr>
          <w:p w14:paraId="3FD16289"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p>
        </w:tc>
        <w:tc>
          <w:tcPr>
            <w:tcW w:w="2256" w:type="dxa"/>
            <w:tcBorders>
              <w:top w:val="single" w:sz="4" w:space="0" w:color="auto"/>
              <w:bottom w:val="nil"/>
            </w:tcBorders>
            <w:vAlign w:val="center"/>
            <w:hideMark/>
          </w:tcPr>
          <w:p w14:paraId="5EBE0725"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p>
        </w:tc>
        <w:tc>
          <w:tcPr>
            <w:tcW w:w="2250" w:type="dxa"/>
            <w:tcBorders>
              <w:top w:val="single" w:sz="4" w:space="0" w:color="auto"/>
              <w:bottom w:val="nil"/>
            </w:tcBorders>
            <w:vAlign w:val="center"/>
            <w:hideMark/>
          </w:tcPr>
          <w:p w14:paraId="3B250D6E"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p>
        </w:tc>
      </w:tr>
      <w:tr w:rsidR="00346D78" w:rsidRPr="000A5591" w14:paraId="54EFDE66" w14:textId="77777777" w:rsidTr="00A17021">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4680" w:type="dxa"/>
            <w:tcBorders>
              <w:top w:val="nil"/>
              <w:bottom w:val="nil"/>
            </w:tcBorders>
            <w:vAlign w:val="center"/>
            <w:hideMark/>
          </w:tcPr>
          <w:p w14:paraId="49F144DF"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Treatment as usual (TAU)</w:t>
            </w:r>
          </w:p>
        </w:tc>
        <w:tc>
          <w:tcPr>
            <w:tcW w:w="1714" w:type="dxa"/>
            <w:tcBorders>
              <w:top w:val="nil"/>
              <w:bottom w:val="nil"/>
            </w:tcBorders>
            <w:vAlign w:val="center"/>
            <w:hideMark/>
          </w:tcPr>
          <w:p w14:paraId="47EC0BE2"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19</w:t>
            </w:r>
          </w:p>
        </w:tc>
        <w:tc>
          <w:tcPr>
            <w:tcW w:w="0" w:type="auto"/>
            <w:tcBorders>
              <w:top w:val="nil"/>
              <w:bottom w:val="nil"/>
            </w:tcBorders>
            <w:vAlign w:val="center"/>
            <w:hideMark/>
          </w:tcPr>
          <w:p w14:paraId="4590B405"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57</w:t>
            </w:r>
          </w:p>
        </w:tc>
        <w:tc>
          <w:tcPr>
            <w:tcW w:w="2256" w:type="dxa"/>
            <w:tcBorders>
              <w:top w:val="nil"/>
              <w:bottom w:val="nil"/>
            </w:tcBorders>
            <w:vAlign w:val="center"/>
            <w:hideMark/>
          </w:tcPr>
          <w:p w14:paraId="5B56F244"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24</w:t>
            </w:r>
          </w:p>
        </w:tc>
        <w:tc>
          <w:tcPr>
            <w:tcW w:w="2250" w:type="dxa"/>
            <w:tcBorders>
              <w:top w:val="nil"/>
              <w:bottom w:val="nil"/>
            </w:tcBorders>
            <w:vAlign w:val="center"/>
            <w:hideMark/>
          </w:tcPr>
          <w:p w14:paraId="3198FB5D" w14:textId="77777777" w:rsidR="00346D78" w:rsidRPr="000A5591" w:rsidRDefault="00346D78" w:rsidP="00A17021">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81</w:t>
            </w:r>
          </w:p>
        </w:tc>
      </w:tr>
      <w:tr w:rsidR="00346D78" w:rsidRPr="000A5591" w14:paraId="560599CF" w14:textId="77777777" w:rsidTr="00A17021">
        <w:tc>
          <w:tcPr>
            <w:cnfStyle w:val="001000000000" w:firstRow="0" w:lastRow="0" w:firstColumn="1" w:lastColumn="0" w:oddVBand="0" w:evenVBand="0" w:oddHBand="0" w:evenHBand="0" w:firstRowFirstColumn="0" w:firstRowLastColumn="0" w:lastRowFirstColumn="0" w:lastRowLastColumn="0"/>
            <w:tcW w:w="4680" w:type="dxa"/>
            <w:tcBorders>
              <w:top w:val="nil"/>
              <w:bottom w:val="single" w:sz="4" w:space="0" w:color="auto"/>
            </w:tcBorders>
            <w:vAlign w:val="center"/>
            <w:hideMark/>
          </w:tcPr>
          <w:p w14:paraId="1133D110" w14:textId="77777777" w:rsidR="00346D78" w:rsidRPr="000A5591" w:rsidRDefault="00346D78" w:rsidP="00A17021">
            <w:pPr>
              <w:rPr>
                <w:rFonts w:eastAsia="Times New Roman" w:cs="Times New Roman"/>
                <w:b w:val="0"/>
                <w:bCs w:val="0"/>
                <w:color w:val="000000"/>
                <w:kern w:val="0"/>
                <w14:ligatures w14:val="none"/>
              </w:rPr>
            </w:pPr>
            <w:r w:rsidRPr="000A5591">
              <w:rPr>
                <w:rFonts w:eastAsia="Times New Roman" w:cs="Times New Roman"/>
                <w:b w:val="0"/>
                <w:bCs w:val="0"/>
                <w:color w:val="000000"/>
                <w:kern w:val="0"/>
                <w14:ligatures w14:val="none"/>
              </w:rPr>
              <w:t>TAU + BCBT-I</w:t>
            </w:r>
          </w:p>
        </w:tc>
        <w:tc>
          <w:tcPr>
            <w:tcW w:w="1714" w:type="dxa"/>
            <w:tcBorders>
              <w:top w:val="nil"/>
              <w:bottom w:val="single" w:sz="4" w:space="0" w:color="auto"/>
            </w:tcBorders>
            <w:vAlign w:val="center"/>
            <w:hideMark/>
          </w:tcPr>
          <w:p w14:paraId="0BE81CC5"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7</w:t>
            </w:r>
          </w:p>
        </w:tc>
        <w:tc>
          <w:tcPr>
            <w:tcW w:w="0" w:type="auto"/>
            <w:tcBorders>
              <w:top w:val="nil"/>
              <w:bottom w:val="single" w:sz="4" w:space="0" w:color="auto"/>
            </w:tcBorders>
            <w:vAlign w:val="center"/>
            <w:hideMark/>
          </w:tcPr>
          <w:p w14:paraId="62A46FC1"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49</w:t>
            </w:r>
          </w:p>
        </w:tc>
        <w:tc>
          <w:tcPr>
            <w:tcW w:w="2256" w:type="dxa"/>
            <w:tcBorders>
              <w:top w:val="nil"/>
              <w:bottom w:val="single" w:sz="4" w:space="0" w:color="auto"/>
            </w:tcBorders>
            <w:vAlign w:val="center"/>
            <w:hideMark/>
          </w:tcPr>
          <w:p w14:paraId="5960362C"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44</w:t>
            </w:r>
          </w:p>
        </w:tc>
        <w:tc>
          <w:tcPr>
            <w:tcW w:w="2250" w:type="dxa"/>
            <w:tcBorders>
              <w:top w:val="nil"/>
              <w:bottom w:val="single" w:sz="4" w:space="0" w:color="auto"/>
            </w:tcBorders>
            <w:vAlign w:val="center"/>
            <w:hideMark/>
          </w:tcPr>
          <w:p w14:paraId="5B0B27E0" w14:textId="77777777" w:rsidR="00346D78" w:rsidRPr="000A5591" w:rsidRDefault="00346D78" w:rsidP="00A1702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14:ligatures w14:val="none"/>
              </w:rPr>
            </w:pPr>
            <w:r w:rsidRPr="000A5591">
              <w:rPr>
                <w:rFonts w:eastAsia="Times New Roman" w:cs="Times New Roman"/>
                <w:color w:val="000000"/>
                <w:kern w:val="0"/>
                <w14:ligatures w14:val="none"/>
              </w:rPr>
              <w:t>93</w:t>
            </w:r>
          </w:p>
        </w:tc>
      </w:tr>
    </w:tbl>
    <w:p w14:paraId="2FEA8772" w14:textId="77777777" w:rsidR="00346D78" w:rsidRDefault="00346D78" w:rsidP="00346D78">
      <w:pPr>
        <w:spacing w:line="240" w:lineRule="auto"/>
        <w:contextualSpacing/>
        <w:rPr>
          <w:rFonts w:ascii="Times New Roman" w:hAnsi="Times New Roman" w:cs="Times New Roman"/>
          <w:i/>
          <w:iCs/>
          <w:sz w:val="20"/>
          <w:szCs w:val="20"/>
        </w:rPr>
      </w:pPr>
      <w:r w:rsidRPr="00D13E22">
        <w:rPr>
          <w:rFonts w:ascii="Times New Roman" w:hAnsi="Times New Roman" w:cs="Times New Roman"/>
          <w:i/>
          <w:iCs/>
          <w:sz w:val="20"/>
          <w:szCs w:val="20"/>
        </w:rPr>
        <w:t>No response defined as no significant change in an outcome variable</w:t>
      </w:r>
    </w:p>
    <w:p w14:paraId="535AF3CF" w14:textId="77777777" w:rsidR="00346D78" w:rsidRDefault="00346D78" w:rsidP="00346D78">
      <w:pPr>
        <w:spacing w:line="240" w:lineRule="auto"/>
        <w:contextualSpacing/>
        <w:rPr>
          <w:rFonts w:ascii="Times New Roman" w:hAnsi="Times New Roman" w:cs="Times New Roman"/>
          <w:i/>
          <w:iCs/>
          <w:sz w:val="20"/>
          <w:szCs w:val="20"/>
        </w:rPr>
      </w:pPr>
      <w:r>
        <w:rPr>
          <w:rFonts w:ascii="Times New Roman" w:hAnsi="Times New Roman" w:cs="Times New Roman"/>
          <w:i/>
          <w:iCs/>
          <w:sz w:val="20"/>
          <w:szCs w:val="20"/>
        </w:rPr>
        <w:t>P</w:t>
      </w:r>
      <w:r w:rsidRPr="00D13E22">
        <w:rPr>
          <w:rFonts w:ascii="Times New Roman" w:hAnsi="Times New Roman" w:cs="Times New Roman"/>
          <w:i/>
          <w:iCs/>
          <w:sz w:val="20"/>
          <w:szCs w:val="20"/>
        </w:rPr>
        <w:t xml:space="preserve">artial response defined as significant change in one outcome indicator </w:t>
      </w:r>
    </w:p>
    <w:p w14:paraId="63482C68" w14:textId="77777777" w:rsidR="00346D78" w:rsidRDefault="00346D78" w:rsidP="00346D78">
      <w:pPr>
        <w:spacing w:line="240" w:lineRule="auto"/>
        <w:contextualSpacing/>
        <w:rPr>
          <w:rFonts w:ascii="Times New Roman" w:hAnsi="Times New Roman" w:cs="Times New Roman"/>
          <w:i/>
          <w:iCs/>
          <w:sz w:val="20"/>
          <w:szCs w:val="20"/>
        </w:rPr>
        <w:sectPr w:rsidR="00346D78" w:rsidSect="00346D78">
          <w:pgSz w:w="12240" w:h="15840"/>
          <w:pgMar w:top="1440" w:right="1440" w:bottom="1440" w:left="1440" w:header="720" w:footer="720" w:gutter="0"/>
          <w:cols w:space="720"/>
          <w:docGrid w:linePitch="360"/>
        </w:sectPr>
      </w:pPr>
      <w:r>
        <w:rPr>
          <w:rFonts w:ascii="Times New Roman" w:hAnsi="Times New Roman" w:cs="Times New Roman"/>
          <w:i/>
          <w:iCs/>
          <w:sz w:val="20"/>
          <w:szCs w:val="20"/>
        </w:rPr>
        <w:t>F</w:t>
      </w:r>
      <w:r w:rsidRPr="00D13E22">
        <w:rPr>
          <w:rFonts w:ascii="Times New Roman" w:hAnsi="Times New Roman" w:cs="Times New Roman"/>
          <w:i/>
          <w:iCs/>
          <w:sz w:val="20"/>
          <w:szCs w:val="20"/>
        </w:rPr>
        <w:t>ull response defined as significant change in all outcome indicator</w:t>
      </w:r>
    </w:p>
    <w:p w14:paraId="62DC744F" w14:textId="77777777" w:rsidR="00346D78" w:rsidRPr="004D453E" w:rsidRDefault="00346D78" w:rsidP="00346D78">
      <w:pPr>
        <w:contextualSpacing/>
        <w:rPr>
          <w:rFonts w:ascii="Times New Roman" w:hAnsi="Times New Roman" w:cs="Times New Roman"/>
          <w:b/>
          <w:bCs/>
        </w:rPr>
      </w:pPr>
      <w:r w:rsidRPr="004D453E">
        <w:rPr>
          <w:rFonts w:ascii="Times New Roman" w:hAnsi="Times New Roman" w:cs="Times New Roman"/>
          <w:b/>
          <w:bCs/>
        </w:rPr>
        <w:lastRenderedPageBreak/>
        <w:t>Table 2</w:t>
      </w:r>
    </w:p>
    <w:p w14:paraId="3E66F56F" w14:textId="77777777" w:rsidR="00346D78" w:rsidRPr="004D453E" w:rsidRDefault="00346D78" w:rsidP="00346D78">
      <w:pPr>
        <w:contextualSpacing/>
        <w:rPr>
          <w:rFonts w:ascii="Times New Roman" w:hAnsi="Times New Roman" w:cs="Times New Roman"/>
          <w:i/>
          <w:iCs/>
        </w:rPr>
      </w:pPr>
      <w:r w:rsidRPr="004D453E">
        <w:rPr>
          <w:rFonts w:ascii="Times New Roman" w:hAnsi="Times New Roman" w:cs="Times New Roman"/>
          <w:i/>
          <w:iCs/>
        </w:rPr>
        <w:t>Reported Frequency of Use &amp; Perceived Helpfulness of Suicide-Specific Interventions</w:t>
      </w:r>
    </w:p>
    <w:tbl>
      <w:tblPr>
        <w:tblStyle w:val="TableGridLight"/>
        <w:tblpPr w:leftFromText="180" w:rightFromText="180" w:vertAnchor="text" w:tblpY="1"/>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2430"/>
        <w:gridCol w:w="1102"/>
        <w:gridCol w:w="1103"/>
        <w:gridCol w:w="1102"/>
        <w:gridCol w:w="1103"/>
      </w:tblGrid>
      <w:tr w:rsidR="00346D78" w:rsidRPr="002A5274" w14:paraId="4AD7BBF8" w14:textId="77777777" w:rsidTr="00A17021">
        <w:trPr>
          <w:trHeight w:val="65"/>
        </w:trPr>
        <w:tc>
          <w:tcPr>
            <w:tcW w:w="2790" w:type="dxa"/>
            <w:tcBorders>
              <w:top w:val="single" w:sz="4" w:space="0" w:color="auto"/>
              <w:bottom w:val="single" w:sz="4" w:space="0" w:color="auto"/>
            </w:tcBorders>
            <w:vAlign w:val="center"/>
            <w:hideMark/>
          </w:tcPr>
          <w:p w14:paraId="0EE26B09" w14:textId="77777777" w:rsidR="00346D78" w:rsidRPr="00672562" w:rsidRDefault="00346D78" w:rsidP="00A17021">
            <w:pPr>
              <w:spacing w:after="160" w:line="278" w:lineRule="auto"/>
              <w:contextualSpacing/>
              <w:rPr>
                <w:rFonts w:cs="Times New Roman"/>
                <w:sz w:val="20"/>
                <w:szCs w:val="20"/>
              </w:rPr>
            </w:pPr>
            <w:r w:rsidRPr="00672562">
              <w:rPr>
                <w:rFonts w:cs="Times New Roman"/>
                <w:sz w:val="20"/>
                <w:szCs w:val="20"/>
              </w:rPr>
              <w:t>Intervention and Measure</w:t>
            </w:r>
          </w:p>
        </w:tc>
        <w:tc>
          <w:tcPr>
            <w:tcW w:w="2430" w:type="dxa"/>
            <w:tcBorders>
              <w:top w:val="single" w:sz="4" w:space="0" w:color="auto"/>
              <w:bottom w:val="single" w:sz="4" w:space="0" w:color="auto"/>
            </w:tcBorders>
            <w:vAlign w:val="center"/>
            <w:hideMark/>
          </w:tcPr>
          <w:p w14:paraId="1F30E53B" w14:textId="77777777" w:rsidR="00346D78" w:rsidRPr="00672562" w:rsidRDefault="00346D78" w:rsidP="00A17021">
            <w:pPr>
              <w:spacing w:after="160" w:line="278" w:lineRule="auto"/>
              <w:contextualSpacing/>
              <w:rPr>
                <w:rFonts w:cs="Times New Roman"/>
                <w:sz w:val="20"/>
                <w:szCs w:val="20"/>
              </w:rPr>
            </w:pPr>
            <w:r w:rsidRPr="00672562">
              <w:rPr>
                <w:rFonts w:cs="Times New Roman"/>
                <w:sz w:val="20"/>
                <w:szCs w:val="20"/>
              </w:rPr>
              <w:t>Responder Group</w:t>
            </w:r>
          </w:p>
        </w:tc>
        <w:tc>
          <w:tcPr>
            <w:tcW w:w="1102" w:type="dxa"/>
            <w:tcBorders>
              <w:top w:val="single" w:sz="4" w:space="0" w:color="auto"/>
              <w:bottom w:val="single" w:sz="4" w:space="0" w:color="auto"/>
            </w:tcBorders>
            <w:vAlign w:val="center"/>
            <w:hideMark/>
          </w:tcPr>
          <w:p w14:paraId="31D6BB50" w14:textId="77777777" w:rsidR="00346D78" w:rsidRPr="00672562" w:rsidRDefault="00346D78" w:rsidP="00A17021">
            <w:pPr>
              <w:spacing w:after="160" w:line="278" w:lineRule="auto"/>
              <w:contextualSpacing/>
              <w:jc w:val="center"/>
              <w:rPr>
                <w:rFonts w:cs="Times New Roman"/>
                <w:sz w:val="20"/>
                <w:szCs w:val="20"/>
              </w:rPr>
            </w:pPr>
            <w:r w:rsidRPr="00672562">
              <w:rPr>
                <w:rFonts w:cs="Times New Roman"/>
                <w:sz w:val="20"/>
                <w:szCs w:val="20"/>
              </w:rPr>
              <w:t>M</w:t>
            </w:r>
          </w:p>
        </w:tc>
        <w:tc>
          <w:tcPr>
            <w:tcW w:w="1103" w:type="dxa"/>
            <w:tcBorders>
              <w:top w:val="single" w:sz="4" w:space="0" w:color="auto"/>
              <w:bottom w:val="single" w:sz="4" w:space="0" w:color="auto"/>
            </w:tcBorders>
            <w:vAlign w:val="center"/>
            <w:hideMark/>
          </w:tcPr>
          <w:p w14:paraId="15DCAC5B" w14:textId="77777777" w:rsidR="00346D78" w:rsidRPr="00672562" w:rsidRDefault="00346D78" w:rsidP="00A17021">
            <w:pPr>
              <w:spacing w:after="160" w:line="278" w:lineRule="auto"/>
              <w:contextualSpacing/>
              <w:jc w:val="center"/>
              <w:rPr>
                <w:rFonts w:cs="Times New Roman"/>
                <w:sz w:val="20"/>
                <w:szCs w:val="20"/>
              </w:rPr>
            </w:pPr>
            <w:r w:rsidRPr="00672562">
              <w:rPr>
                <w:rFonts w:cs="Times New Roman"/>
                <w:sz w:val="20"/>
                <w:szCs w:val="20"/>
              </w:rPr>
              <w:t>F</w:t>
            </w:r>
          </w:p>
        </w:tc>
        <w:tc>
          <w:tcPr>
            <w:tcW w:w="1102" w:type="dxa"/>
            <w:tcBorders>
              <w:top w:val="single" w:sz="4" w:space="0" w:color="auto"/>
              <w:bottom w:val="single" w:sz="4" w:space="0" w:color="auto"/>
            </w:tcBorders>
            <w:vAlign w:val="center"/>
            <w:hideMark/>
          </w:tcPr>
          <w:p w14:paraId="4DCCCCB0" w14:textId="77777777" w:rsidR="00346D78" w:rsidRPr="00672562" w:rsidRDefault="00346D78" w:rsidP="00A17021">
            <w:pPr>
              <w:spacing w:after="160" w:line="278" w:lineRule="auto"/>
              <w:contextualSpacing/>
              <w:jc w:val="center"/>
              <w:rPr>
                <w:rFonts w:cs="Times New Roman"/>
                <w:sz w:val="20"/>
                <w:szCs w:val="20"/>
              </w:rPr>
            </w:pPr>
            <w:r w:rsidRPr="00672562">
              <w:rPr>
                <w:rFonts w:cs="Times New Roman"/>
                <w:sz w:val="20"/>
                <w:szCs w:val="20"/>
              </w:rPr>
              <w:t>p</w:t>
            </w:r>
          </w:p>
        </w:tc>
        <w:tc>
          <w:tcPr>
            <w:tcW w:w="1103" w:type="dxa"/>
            <w:tcBorders>
              <w:top w:val="single" w:sz="4" w:space="0" w:color="auto"/>
              <w:bottom w:val="single" w:sz="4" w:space="0" w:color="auto"/>
            </w:tcBorders>
            <w:vAlign w:val="center"/>
            <w:hideMark/>
          </w:tcPr>
          <w:p w14:paraId="44D56D87" w14:textId="77777777" w:rsidR="00346D78" w:rsidRPr="00672562" w:rsidRDefault="00346D78" w:rsidP="00A17021">
            <w:pPr>
              <w:spacing w:after="160" w:line="278" w:lineRule="auto"/>
              <w:contextualSpacing/>
              <w:jc w:val="center"/>
              <w:rPr>
                <w:rFonts w:cs="Times New Roman"/>
                <w:sz w:val="20"/>
                <w:szCs w:val="20"/>
              </w:rPr>
            </w:pPr>
            <w:r w:rsidRPr="00672562">
              <w:rPr>
                <w:rFonts w:cs="Times New Roman"/>
                <w:sz w:val="20"/>
                <w:szCs w:val="20"/>
              </w:rPr>
              <w:t>η²</w:t>
            </w:r>
          </w:p>
        </w:tc>
      </w:tr>
      <w:tr w:rsidR="00346D78" w:rsidRPr="002A5274" w14:paraId="4ECD2C7D" w14:textId="77777777" w:rsidTr="00A17021">
        <w:trPr>
          <w:trHeight w:val="20"/>
        </w:trPr>
        <w:tc>
          <w:tcPr>
            <w:tcW w:w="2790" w:type="dxa"/>
            <w:tcBorders>
              <w:top w:val="single" w:sz="4" w:space="0" w:color="auto"/>
            </w:tcBorders>
            <w:vAlign w:val="center"/>
            <w:hideMark/>
          </w:tcPr>
          <w:p w14:paraId="5152F076"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Crisis Response Planning</w:t>
            </w:r>
          </w:p>
        </w:tc>
        <w:tc>
          <w:tcPr>
            <w:tcW w:w="2430" w:type="dxa"/>
            <w:tcBorders>
              <w:top w:val="single" w:sz="4" w:space="0" w:color="auto"/>
            </w:tcBorders>
            <w:vAlign w:val="center"/>
            <w:hideMark/>
          </w:tcPr>
          <w:p w14:paraId="75DFB0C3" w14:textId="77777777" w:rsidR="00346D78" w:rsidRPr="00672562" w:rsidRDefault="00346D78" w:rsidP="00A17021">
            <w:pPr>
              <w:spacing w:after="160" w:line="278" w:lineRule="auto"/>
              <w:rPr>
                <w:rFonts w:cs="Times New Roman"/>
                <w:sz w:val="20"/>
                <w:szCs w:val="20"/>
              </w:rPr>
            </w:pPr>
          </w:p>
        </w:tc>
        <w:tc>
          <w:tcPr>
            <w:tcW w:w="1102" w:type="dxa"/>
            <w:tcBorders>
              <w:top w:val="single" w:sz="4" w:space="0" w:color="auto"/>
            </w:tcBorders>
            <w:vAlign w:val="center"/>
            <w:hideMark/>
          </w:tcPr>
          <w:p w14:paraId="218D1723"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3CBD5B94" w14:textId="77777777" w:rsidR="00346D78" w:rsidRPr="00672562" w:rsidRDefault="00346D78" w:rsidP="00A17021">
            <w:pPr>
              <w:spacing w:after="160" w:line="278" w:lineRule="auto"/>
              <w:jc w:val="center"/>
              <w:rPr>
                <w:rFonts w:cs="Times New Roman"/>
                <w:sz w:val="20"/>
                <w:szCs w:val="20"/>
              </w:rPr>
            </w:pPr>
          </w:p>
        </w:tc>
        <w:tc>
          <w:tcPr>
            <w:tcW w:w="1102" w:type="dxa"/>
            <w:tcBorders>
              <w:top w:val="single" w:sz="4" w:space="0" w:color="auto"/>
            </w:tcBorders>
            <w:vAlign w:val="center"/>
            <w:hideMark/>
          </w:tcPr>
          <w:p w14:paraId="476F09A4"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09D1C05C" w14:textId="77777777" w:rsidR="00346D78" w:rsidRPr="00672562" w:rsidRDefault="00346D78" w:rsidP="00A17021">
            <w:pPr>
              <w:spacing w:after="160" w:line="278" w:lineRule="auto"/>
              <w:jc w:val="center"/>
              <w:rPr>
                <w:rFonts w:cs="Times New Roman"/>
                <w:sz w:val="20"/>
                <w:szCs w:val="20"/>
              </w:rPr>
            </w:pPr>
          </w:p>
        </w:tc>
      </w:tr>
      <w:tr w:rsidR="00346D78" w:rsidRPr="002A5274" w14:paraId="392B17FC" w14:textId="77777777" w:rsidTr="00A17021">
        <w:trPr>
          <w:trHeight w:val="20"/>
        </w:trPr>
        <w:tc>
          <w:tcPr>
            <w:tcW w:w="2790" w:type="dxa"/>
            <w:vAlign w:val="center"/>
            <w:hideMark/>
          </w:tcPr>
          <w:p w14:paraId="3030918D"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Use Rating</w:t>
            </w:r>
          </w:p>
        </w:tc>
        <w:tc>
          <w:tcPr>
            <w:tcW w:w="2430" w:type="dxa"/>
            <w:vAlign w:val="center"/>
            <w:hideMark/>
          </w:tcPr>
          <w:p w14:paraId="524C9567"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5F0C7FA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2.22</w:t>
            </w:r>
          </w:p>
        </w:tc>
        <w:tc>
          <w:tcPr>
            <w:tcW w:w="1103" w:type="dxa"/>
            <w:vAlign w:val="center"/>
            <w:hideMark/>
          </w:tcPr>
          <w:p w14:paraId="7D8B52A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0.66</w:t>
            </w:r>
          </w:p>
        </w:tc>
        <w:tc>
          <w:tcPr>
            <w:tcW w:w="1102" w:type="dxa"/>
            <w:vAlign w:val="center"/>
            <w:hideMark/>
          </w:tcPr>
          <w:p w14:paraId="64EF016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ns</w:t>
            </w:r>
          </w:p>
        </w:tc>
        <w:tc>
          <w:tcPr>
            <w:tcW w:w="1103" w:type="dxa"/>
            <w:vAlign w:val="center"/>
            <w:hideMark/>
          </w:tcPr>
          <w:p w14:paraId="401678F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674E336D" w14:textId="77777777" w:rsidTr="00A17021">
        <w:trPr>
          <w:trHeight w:val="20"/>
        </w:trPr>
        <w:tc>
          <w:tcPr>
            <w:tcW w:w="2790" w:type="dxa"/>
            <w:vAlign w:val="center"/>
            <w:hideMark/>
          </w:tcPr>
          <w:p w14:paraId="4543F53D"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5B240511"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0FE34A33"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2.21</w:t>
            </w:r>
          </w:p>
        </w:tc>
        <w:tc>
          <w:tcPr>
            <w:tcW w:w="1103" w:type="dxa"/>
            <w:vAlign w:val="center"/>
            <w:hideMark/>
          </w:tcPr>
          <w:p w14:paraId="1DA2450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753E970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7D34A29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2664E44E" w14:textId="77777777" w:rsidTr="00A17021">
        <w:trPr>
          <w:trHeight w:val="20"/>
        </w:trPr>
        <w:tc>
          <w:tcPr>
            <w:tcW w:w="2790" w:type="dxa"/>
            <w:vAlign w:val="center"/>
            <w:hideMark/>
          </w:tcPr>
          <w:p w14:paraId="3E17BBD5"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2F8DAF0D"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vAlign w:val="center"/>
            <w:hideMark/>
          </w:tcPr>
          <w:p w14:paraId="698142F0"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2.11</w:t>
            </w:r>
          </w:p>
        </w:tc>
        <w:tc>
          <w:tcPr>
            <w:tcW w:w="1103" w:type="dxa"/>
            <w:vAlign w:val="center"/>
            <w:hideMark/>
          </w:tcPr>
          <w:p w14:paraId="1EF1DA64"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3F53E2B4"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102CEBF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02CD7BF9" w14:textId="77777777" w:rsidTr="00A17021">
        <w:trPr>
          <w:trHeight w:val="20"/>
        </w:trPr>
        <w:tc>
          <w:tcPr>
            <w:tcW w:w="2790" w:type="dxa"/>
            <w:vAlign w:val="center"/>
            <w:hideMark/>
          </w:tcPr>
          <w:p w14:paraId="0797570F"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Helpfulness Rating</w:t>
            </w:r>
          </w:p>
        </w:tc>
        <w:tc>
          <w:tcPr>
            <w:tcW w:w="2430" w:type="dxa"/>
            <w:vAlign w:val="center"/>
            <w:hideMark/>
          </w:tcPr>
          <w:p w14:paraId="53F3A24E"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44A66B9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2.70</w:t>
            </w:r>
          </w:p>
        </w:tc>
        <w:tc>
          <w:tcPr>
            <w:tcW w:w="1103" w:type="dxa"/>
            <w:vAlign w:val="center"/>
            <w:hideMark/>
          </w:tcPr>
          <w:p w14:paraId="3F7A773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6.27</w:t>
            </w:r>
          </w:p>
        </w:tc>
        <w:tc>
          <w:tcPr>
            <w:tcW w:w="1102" w:type="dxa"/>
            <w:vAlign w:val="center"/>
            <w:hideMark/>
          </w:tcPr>
          <w:p w14:paraId="583C606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.003</w:t>
            </w:r>
          </w:p>
        </w:tc>
        <w:tc>
          <w:tcPr>
            <w:tcW w:w="1103" w:type="dxa"/>
            <w:vAlign w:val="center"/>
            <w:hideMark/>
          </w:tcPr>
          <w:p w14:paraId="1F4A5C8E"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.15***</w:t>
            </w:r>
          </w:p>
        </w:tc>
      </w:tr>
      <w:tr w:rsidR="00346D78" w:rsidRPr="002A5274" w14:paraId="508F4D8C" w14:textId="77777777" w:rsidTr="00A17021">
        <w:trPr>
          <w:trHeight w:val="20"/>
        </w:trPr>
        <w:tc>
          <w:tcPr>
            <w:tcW w:w="2790" w:type="dxa"/>
            <w:vAlign w:val="center"/>
            <w:hideMark/>
          </w:tcPr>
          <w:p w14:paraId="20199E68"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11DEAFF0"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27103E7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3.06</w:t>
            </w:r>
          </w:p>
        </w:tc>
        <w:tc>
          <w:tcPr>
            <w:tcW w:w="1103" w:type="dxa"/>
            <w:vAlign w:val="center"/>
            <w:hideMark/>
          </w:tcPr>
          <w:p w14:paraId="353A1302"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0FF8062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3910B22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7292499C" w14:textId="77777777" w:rsidTr="00A17021">
        <w:trPr>
          <w:trHeight w:val="20"/>
        </w:trPr>
        <w:tc>
          <w:tcPr>
            <w:tcW w:w="2790" w:type="dxa"/>
            <w:tcBorders>
              <w:bottom w:val="single" w:sz="4" w:space="0" w:color="auto"/>
            </w:tcBorders>
            <w:vAlign w:val="center"/>
            <w:hideMark/>
          </w:tcPr>
          <w:p w14:paraId="249EC35C" w14:textId="77777777" w:rsidR="00346D78" w:rsidRPr="00672562" w:rsidRDefault="00346D78" w:rsidP="00A17021">
            <w:pPr>
              <w:spacing w:after="160" w:line="278" w:lineRule="auto"/>
              <w:rPr>
                <w:rFonts w:cs="Times New Roman"/>
                <w:sz w:val="20"/>
                <w:szCs w:val="20"/>
              </w:rPr>
            </w:pPr>
          </w:p>
        </w:tc>
        <w:tc>
          <w:tcPr>
            <w:tcW w:w="2430" w:type="dxa"/>
            <w:tcBorders>
              <w:bottom w:val="single" w:sz="4" w:space="0" w:color="auto"/>
            </w:tcBorders>
            <w:vAlign w:val="center"/>
            <w:hideMark/>
          </w:tcPr>
          <w:p w14:paraId="79B96F8B"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tcBorders>
              <w:bottom w:val="single" w:sz="4" w:space="0" w:color="auto"/>
            </w:tcBorders>
            <w:vAlign w:val="center"/>
            <w:hideMark/>
          </w:tcPr>
          <w:p w14:paraId="59F9208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3.73</w:t>
            </w:r>
          </w:p>
        </w:tc>
        <w:tc>
          <w:tcPr>
            <w:tcW w:w="1103" w:type="dxa"/>
            <w:tcBorders>
              <w:bottom w:val="single" w:sz="4" w:space="0" w:color="auto"/>
            </w:tcBorders>
            <w:vAlign w:val="center"/>
            <w:hideMark/>
          </w:tcPr>
          <w:p w14:paraId="4560DC30"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tcBorders>
              <w:bottom w:val="single" w:sz="4" w:space="0" w:color="auto"/>
            </w:tcBorders>
            <w:vAlign w:val="center"/>
            <w:hideMark/>
          </w:tcPr>
          <w:p w14:paraId="2FEC09C9"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tcBorders>
              <w:bottom w:val="single" w:sz="4" w:space="0" w:color="auto"/>
            </w:tcBorders>
            <w:vAlign w:val="center"/>
            <w:hideMark/>
          </w:tcPr>
          <w:p w14:paraId="0D40308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581B71FA" w14:textId="77777777" w:rsidTr="00A17021">
        <w:trPr>
          <w:trHeight w:val="20"/>
        </w:trPr>
        <w:tc>
          <w:tcPr>
            <w:tcW w:w="2790" w:type="dxa"/>
            <w:tcBorders>
              <w:top w:val="single" w:sz="4" w:space="0" w:color="auto"/>
            </w:tcBorders>
            <w:vAlign w:val="center"/>
            <w:hideMark/>
          </w:tcPr>
          <w:p w14:paraId="711EEA11"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Survival Kit</w:t>
            </w:r>
          </w:p>
        </w:tc>
        <w:tc>
          <w:tcPr>
            <w:tcW w:w="2430" w:type="dxa"/>
            <w:tcBorders>
              <w:top w:val="single" w:sz="4" w:space="0" w:color="auto"/>
            </w:tcBorders>
            <w:vAlign w:val="center"/>
            <w:hideMark/>
          </w:tcPr>
          <w:p w14:paraId="4A068CE1" w14:textId="77777777" w:rsidR="00346D78" w:rsidRPr="00672562" w:rsidRDefault="00346D78" w:rsidP="00A17021">
            <w:pPr>
              <w:spacing w:after="160" w:line="278" w:lineRule="auto"/>
              <w:rPr>
                <w:rFonts w:cs="Times New Roman"/>
                <w:sz w:val="20"/>
                <w:szCs w:val="20"/>
              </w:rPr>
            </w:pPr>
          </w:p>
        </w:tc>
        <w:tc>
          <w:tcPr>
            <w:tcW w:w="1102" w:type="dxa"/>
            <w:tcBorders>
              <w:top w:val="single" w:sz="4" w:space="0" w:color="auto"/>
            </w:tcBorders>
            <w:vAlign w:val="center"/>
            <w:hideMark/>
          </w:tcPr>
          <w:p w14:paraId="78577392"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4DF98E17" w14:textId="77777777" w:rsidR="00346D78" w:rsidRPr="00672562" w:rsidRDefault="00346D78" w:rsidP="00A17021">
            <w:pPr>
              <w:spacing w:after="160" w:line="278" w:lineRule="auto"/>
              <w:jc w:val="center"/>
              <w:rPr>
                <w:rFonts w:cs="Times New Roman"/>
                <w:sz w:val="20"/>
                <w:szCs w:val="20"/>
              </w:rPr>
            </w:pPr>
          </w:p>
        </w:tc>
        <w:tc>
          <w:tcPr>
            <w:tcW w:w="1102" w:type="dxa"/>
            <w:tcBorders>
              <w:top w:val="single" w:sz="4" w:space="0" w:color="auto"/>
            </w:tcBorders>
            <w:vAlign w:val="center"/>
            <w:hideMark/>
          </w:tcPr>
          <w:p w14:paraId="79CCF17A"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4658CF74" w14:textId="77777777" w:rsidR="00346D78" w:rsidRPr="00672562" w:rsidRDefault="00346D78" w:rsidP="00A17021">
            <w:pPr>
              <w:spacing w:after="160" w:line="278" w:lineRule="auto"/>
              <w:jc w:val="center"/>
              <w:rPr>
                <w:rFonts w:cs="Times New Roman"/>
                <w:sz w:val="20"/>
                <w:szCs w:val="20"/>
              </w:rPr>
            </w:pPr>
          </w:p>
        </w:tc>
      </w:tr>
      <w:tr w:rsidR="00346D78" w:rsidRPr="002A5274" w14:paraId="7662C1EB" w14:textId="77777777" w:rsidTr="00A17021">
        <w:trPr>
          <w:trHeight w:val="20"/>
        </w:trPr>
        <w:tc>
          <w:tcPr>
            <w:tcW w:w="2790" w:type="dxa"/>
            <w:vAlign w:val="center"/>
            <w:hideMark/>
          </w:tcPr>
          <w:p w14:paraId="2FF05FAF"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Use Rating</w:t>
            </w:r>
          </w:p>
        </w:tc>
        <w:tc>
          <w:tcPr>
            <w:tcW w:w="2430" w:type="dxa"/>
            <w:vAlign w:val="center"/>
            <w:hideMark/>
          </w:tcPr>
          <w:p w14:paraId="33938A93"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3E38069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2.02</w:t>
            </w:r>
          </w:p>
        </w:tc>
        <w:tc>
          <w:tcPr>
            <w:tcW w:w="1103" w:type="dxa"/>
            <w:vAlign w:val="center"/>
            <w:hideMark/>
          </w:tcPr>
          <w:p w14:paraId="06628D6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0.43</w:t>
            </w:r>
          </w:p>
        </w:tc>
        <w:tc>
          <w:tcPr>
            <w:tcW w:w="1102" w:type="dxa"/>
            <w:vAlign w:val="center"/>
            <w:hideMark/>
          </w:tcPr>
          <w:p w14:paraId="0DD67BA3"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ns</w:t>
            </w:r>
          </w:p>
        </w:tc>
        <w:tc>
          <w:tcPr>
            <w:tcW w:w="1103" w:type="dxa"/>
            <w:vAlign w:val="center"/>
            <w:hideMark/>
          </w:tcPr>
          <w:p w14:paraId="7851D4E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2AF0DDCC" w14:textId="77777777" w:rsidTr="00A17021">
        <w:trPr>
          <w:trHeight w:val="20"/>
        </w:trPr>
        <w:tc>
          <w:tcPr>
            <w:tcW w:w="2790" w:type="dxa"/>
            <w:vAlign w:val="center"/>
            <w:hideMark/>
          </w:tcPr>
          <w:p w14:paraId="45B64031"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7BC98053"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7C4CD8E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2.32</w:t>
            </w:r>
          </w:p>
        </w:tc>
        <w:tc>
          <w:tcPr>
            <w:tcW w:w="1103" w:type="dxa"/>
            <w:vAlign w:val="center"/>
            <w:hideMark/>
          </w:tcPr>
          <w:p w14:paraId="2B29ED5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0283BB5E"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12B7A99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4D3091D7" w14:textId="77777777" w:rsidTr="00A17021">
        <w:trPr>
          <w:trHeight w:val="20"/>
        </w:trPr>
        <w:tc>
          <w:tcPr>
            <w:tcW w:w="2790" w:type="dxa"/>
            <w:vAlign w:val="center"/>
            <w:hideMark/>
          </w:tcPr>
          <w:p w14:paraId="7579957A"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54685644"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vAlign w:val="center"/>
            <w:hideMark/>
          </w:tcPr>
          <w:p w14:paraId="41C24CB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2.11</w:t>
            </w:r>
          </w:p>
        </w:tc>
        <w:tc>
          <w:tcPr>
            <w:tcW w:w="1103" w:type="dxa"/>
            <w:vAlign w:val="center"/>
            <w:hideMark/>
          </w:tcPr>
          <w:p w14:paraId="5606C6E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5D0A4AE3"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6EE7C9A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659B7A83" w14:textId="77777777" w:rsidTr="00A17021">
        <w:trPr>
          <w:trHeight w:val="20"/>
        </w:trPr>
        <w:tc>
          <w:tcPr>
            <w:tcW w:w="2790" w:type="dxa"/>
            <w:vAlign w:val="center"/>
            <w:hideMark/>
          </w:tcPr>
          <w:p w14:paraId="5B57D486"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Helpfulness Rating</w:t>
            </w:r>
          </w:p>
        </w:tc>
        <w:tc>
          <w:tcPr>
            <w:tcW w:w="2430" w:type="dxa"/>
            <w:vAlign w:val="center"/>
            <w:hideMark/>
          </w:tcPr>
          <w:p w14:paraId="5380F657"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1577436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2.83</w:t>
            </w:r>
          </w:p>
        </w:tc>
        <w:tc>
          <w:tcPr>
            <w:tcW w:w="1103" w:type="dxa"/>
            <w:vAlign w:val="center"/>
            <w:hideMark/>
          </w:tcPr>
          <w:p w14:paraId="1B6140B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7.76</w:t>
            </w:r>
          </w:p>
        </w:tc>
        <w:tc>
          <w:tcPr>
            <w:tcW w:w="1102" w:type="dxa"/>
            <w:vAlign w:val="center"/>
            <w:hideMark/>
          </w:tcPr>
          <w:p w14:paraId="7CFCDA89"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.001</w:t>
            </w:r>
          </w:p>
        </w:tc>
        <w:tc>
          <w:tcPr>
            <w:tcW w:w="1103" w:type="dxa"/>
            <w:vAlign w:val="center"/>
            <w:hideMark/>
          </w:tcPr>
          <w:p w14:paraId="0B58B81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.26***</w:t>
            </w:r>
          </w:p>
        </w:tc>
      </w:tr>
      <w:tr w:rsidR="00346D78" w:rsidRPr="002A5274" w14:paraId="715FBAFF" w14:textId="77777777" w:rsidTr="00A17021">
        <w:trPr>
          <w:trHeight w:val="20"/>
        </w:trPr>
        <w:tc>
          <w:tcPr>
            <w:tcW w:w="2790" w:type="dxa"/>
            <w:vAlign w:val="center"/>
            <w:hideMark/>
          </w:tcPr>
          <w:p w14:paraId="18B7CEDB"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5E87642D"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0B1AEA2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3.36</w:t>
            </w:r>
          </w:p>
        </w:tc>
        <w:tc>
          <w:tcPr>
            <w:tcW w:w="1103" w:type="dxa"/>
            <w:vAlign w:val="center"/>
            <w:hideMark/>
          </w:tcPr>
          <w:p w14:paraId="2296229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74BA4383"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28BCE31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23E0AC9C" w14:textId="77777777" w:rsidTr="00A17021">
        <w:trPr>
          <w:trHeight w:val="20"/>
        </w:trPr>
        <w:tc>
          <w:tcPr>
            <w:tcW w:w="2790" w:type="dxa"/>
            <w:tcBorders>
              <w:bottom w:val="single" w:sz="4" w:space="0" w:color="auto"/>
            </w:tcBorders>
            <w:vAlign w:val="center"/>
            <w:hideMark/>
          </w:tcPr>
          <w:p w14:paraId="0095AED8" w14:textId="77777777" w:rsidR="00346D78" w:rsidRPr="00672562" w:rsidRDefault="00346D78" w:rsidP="00A17021">
            <w:pPr>
              <w:spacing w:after="160" w:line="278" w:lineRule="auto"/>
              <w:rPr>
                <w:rFonts w:cs="Times New Roman"/>
                <w:sz w:val="20"/>
                <w:szCs w:val="20"/>
              </w:rPr>
            </w:pPr>
          </w:p>
        </w:tc>
        <w:tc>
          <w:tcPr>
            <w:tcW w:w="2430" w:type="dxa"/>
            <w:tcBorders>
              <w:bottom w:val="single" w:sz="4" w:space="0" w:color="auto"/>
            </w:tcBorders>
            <w:vAlign w:val="center"/>
            <w:hideMark/>
          </w:tcPr>
          <w:p w14:paraId="09613EA8"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tcBorders>
              <w:bottom w:val="single" w:sz="4" w:space="0" w:color="auto"/>
            </w:tcBorders>
            <w:vAlign w:val="center"/>
            <w:hideMark/>
          </w:tcPr>
          <w:p w14:paraId="72AD709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4.10</w:t>
            </w:r>
          </w:p>
        </w:tc>
        <w:tc>
          <w:tcPr>
            <w:tcW w:w="1103" w:type="dxa"/>
            <w:tcBorders>
              <w:bottom w:val="single" w:sz="4" w:space="0" w:color="auto"/>
            </w:tcBorders>
            <w:vAlign w:val="center"/>
            <w:hideMark/>
          </w:tcPr>
          <w:p w14:paraId="02C674F2"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tcBorders>
              <w:bottom w:val="single" w:sz="4" w:space="0" w:color="auto"/>
            </w:tcBorders>
            <w:vAlign w:val="center"/>
            <w:hideMark/>
          </w:tcPr>
          <w:p w14:paraId="12811673"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tcBorders>
              <w:bottom w:val="single" w:sz="4" w:space="0" w:color="auto"/>
            </w:tcBorders>
            <w:vAlign w:val="center"/>
            <w:hideMark/>
          </w:tcPr>
          <w:p w14:paraId="7D46E589"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00D1BF5A" w14:textId="77777777" w:rsidTr="00A17021">
        <w:trPr>
          <w:trHeight w:val="20"/>
        </w:trPr>
        <w:tc>
          <w:tcPr>
            <w:tcW w:w="2790" w:type="dxa"/>
            <w:tcBorders>
              <w:top w:val="single" w:sz="4" w:space="0" w:color="auto"/>
            </w:tcBorders>
            <w:vAlign w:val="center"/>
            <w:hideMark/>
          </w:tcPr>
          <w:p w14:paraId="7D4AAF9D"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Reasons for Living</w:t>
            </w:r>
          </w:p>
        </w:tc>
        <w:tc>
          <w:tcPr>
            <w:tcW w:w="2430" w:type="dxa"/>
            <w:tcBorders>
              <w:top w:val="single" w:sz="4" w:space="0" w:color="auto"/>
            </w:tcBorders>
            <w:vAlign w:val="center"/>
            <w:hideMark/>
          </w:tcPr>
          <w:p w14:paraId="35401D29" w14:textId="77777777" w:rsidR="00346D78" w:rsidRPr="00672562" w:rsidRDefault="00346D78" w:rsidP="00A17021">
            <w:pPr>
              <w:spacing w:after="160" w:line="278" w:lineRule="auto"/>
              <w:rPr>
                <w:rFonts w:cs="Times New Roman"/>
                <w:sz w:val="20"/>
                <w:szCs w:val="20"/>
              </w:rPr>
            </w:pPr>
          </w:p>
        </w:tc>
        <w:tc>
          <w:tcPr>
            <w:tcW w:w="1102" w:type="dxa"/>
            <w:tcBorders>
              <w:top w:val="single" w:sz="4" w:space="0" w:color="auto"/>
            </w:tcBorders>
            <w:vAlign w:val="center"/>
            <w:hideMark/>
          </w:tcPr>
          <w:p w14:paraId="77AB82EF"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09CB1140" w14:textId="77777777" w:rsidR="00346D78" w:rsidRPr="00672562" w:rsidRDefault="00346D78" w:rsidP="00A17021">
            <w:pPr>
              <w:spacing w:after="160" w:line="278" w:lineRule="auto"/>
              <w:jc w:val="center"/>
              <w:rPr>
                <w:rFonts w:cs="Times New Roman"/>
                <w:sz w:val="20"/>
                <w:szCs w:val="20"/>
              </w:rPr>
            </w:pPr>
          </w:p>
        </w:tc>
        <w:tc>
          <w:tcPr>
            <w:tcW w:w="1102" w:type="dxa"/>
            <w:tcBorders>
              <w:top w:val="single" w:sz="4" w:space="0" w:color="auto"/>
            </w:tcBorders>
            <w:vAlign w:val="center"/>
            <w:hideMark/>
          </w:tcPr>
          <w:p w14:paraId="4E6172A1"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0B77750A" w14:textId="77777777" w:rsidR="00346D78" w:rsidRPr="00672562" w:rsidRDefault="00346D78" w:rsidP="00A17021">
            <w:pPr>
              <w:spacing w:after="160" w:line="278" w:lineRule="auto"/>
              <w:jc w:val="center"/>
              <w:rPr>
                <w:rFonts w:cs="Times New Roman"/>
                <w:sz w:val="20"/>
                <w:szCs w:val="20"/>
              </w:rPr>
            </w:pPr>
          </w:p>
        </w:tc>
      </w:tr>
      <w:tr w:rsidR="00346D78" w:rsidRPr="002A5274" w14:paraId="5EB2E535" w14:textId="77777777" w:rsidTr="00A17021">
        <w:trPr>
          <w:trHeight w:val="20"/>
        </w:trPr>
        <w:tc>
          <w:tcPr>
            <w:tcW w:w="2790" w:type="dxa"/>
            <w:vAlign w:val="center"/>
            <w:hideMark/>
          </w:tcPr>
          <w:p w14:paraId="09A69473"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Use Rating</w:t>
            </w:r>
          </w:p>
        </w:tc>
        <w:tc>
          <w:tcPr>
            <w:tcW w:w="2430" w:type="dxa"/>
            <w:vAlign w:val="center"/>
            <w:hideMark/>
          </w:tcPr>
          <w:p w14:paraId="5699AE75"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60C6AA10"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2.57</w:t>
            </w:r>
          </w:p>
        </w:tc>
        <w:tc>
          <w:tcPr>
            <w:tcW w:w="1103" w:type="dxa"/>
            <w:vAlign w:val="center"/>
            <w:hideMark/>
          </w:tcPr>
          <w:p w14:paraId="40770B0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0.24</w:t>
            </w:r>
          </w:p>
        </w:tc>
        <w:tc>
          <w:tcPr>
            <w:tcW w:w="1102" w:type="dxa"/>
            <w:vAlign w:val="center"/>
            <w:hideMark/>
          </w:tcPr>
          <w:p w14:paraId="31EE852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ns</w:t>
            </w:r>
          </w:p>
        </w:tc>
        <w:tc>
          <w:tcPr>
            <w:tcW w:w="1103" w:type="dxa"/>
            <w:vAlign w:val="center"/>
            <w:hideMark/>
          </w:tcPr>
          <w:p w14:paraId="2677D854"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443EF31A" w14:textId="77777777" w:rsidTr="00A17021">
        <w:trPr>
          <w:trHeight w:val="20"/>
        </w:trPr>
        <w:tc>
          <w:tcPr>
            <w:tcW w:w="2790" w:type="dxa"/>
            <w:vAlign w:val="center"/>
            <w:hideMark/>
          </w:tcPr>
          <w:p w14:paraId="1010022A"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512FCBEA"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31AEB4D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2.81</w:t>
            </w:r>
          </w:p>
        </w:tc>
        <w:tc>
          <w:tcPr>
            <w:tcW w:w="1103" w:type="dxa"/>
            <w:vAlign w:val="center"/>
            <w:hideMark/>
          </w:tcPr>
          <w:p w14:paraId="165D487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13B2EB2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51F522A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1BD35C5B" w14:textId="77777777" w:rsidTr="00A17021">
        <w:trPr>
          <w:trHeight w:val="20"/>
        </w:trPr>
        <w:tc>
          <w:tcPr>
            <w:tcW w:w="2790" w:type="dxa"/>
            <w:vAlign w:val="center"/>
            <w:hideMark/>
          </w:tcPr>
          <w:p w14:paraId="3E00FA25"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46894524"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vAlign w:val="center"/>
            <w:hideMark/>
          </w:tcPr>
          <w:p w14:paraId="1B2E5EE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2.65</w:t>
            </w:r>
          </w:p>
        </w:tc>
        <w:tc>
          <w:tcPr>
            <w:tcW w:w="1103" w:type="dxa"/>
            <w:vAlign w:val="center"/>
            <w:hideMark/>
          </w:tcPr>
          <w:p w14:paraId="5CFBA22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3C89858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02D40BB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0B3DE50D" w14:textId="77777777" w:rsidTr="00A17021">
        <w:trPr>
          <w:trHeight w:val="20"/>
        </w:trPr>
        <w:tc>
          <w:tcPr>
            <w:tcW w:w="2790" w:type="dxa"/>
            <w:vAlign w:val="center"/>
            <w:hideMark/>
          </w:tcPr>
          <w:p w14:paraId="168ACADB"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Helpfulness Rating</w:t>
            </w:r>
          </w:p>
        </w:tc>
        <w:tc>
          <w:tcPr>
            <w:tcW w:w="2430" w:type="dxa"/>
            <w:vAlign w:val="center"/>
            <w:hideMark/>
          </w:tcPr>
          <w:p w14:paraId="6594FC16"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1F97D19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2.80</w:t>
            </w:r>
          </w:p>
        </w:tc>
        <w:tc>
          <w:tcPr>
            <w:tcW w:w="1103" w:type="dxa"/>
            <w:vAlign w:val="center"/>
            <w:hideMark/>
          </w:tcPr>
          <w:p w14:paraId="1E50D33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10.07</w:t>
            </w:r>
          </w:p>
        </w:tc>
        <w:tc>
          <w:tcPr>
            <w:tcW w:w="1102" w:type="dxa"/>
            <w:vAlign w:val="center"/>
            <w:hideMark/>
          </w:tcPr>
          <w:p w14:paraId="1DC3CFC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&lt; .001</w:t>
            </w:r>
          </w:p>
        </w:tc>
        <w:tc>
          <w:tcPr>
            <w:tcW w:w="1103" w:type="dxa"/>
            <w:vAlign w:val="center"/>
            <w:hideMark/>
          </w:tcPr>
          <w:p w14:paraId="7C05F2B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.22***</w:t>
            </w:r>
          </w:p>
        </w:tc>
      </w:tr>
      <w:tr w:rsidR="00346D78" w:rsidRPr="002A5274" w14:paraId="28F0C504" w14:textId="77777777" w:rsidTr="00A17021">
        <w:trPr>
          <w:trHeight w:val="20"/>
        </w:trPr>
        <w:tc>
          <w:tcPr>
            <w:tcW w:w="2790" w:type="dxa"/>
            <w:vAlign w:val="center"/>
            <w:hideMark/>
          </w:tcPr>
          <w:p w14:paraId="6088D39A"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7C2A9767"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08FF502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3.10</w:t>
            </w:r>
          </w:p>
        </w:tc>
        <w:tc>
          <w:tcPr>
            <w:tcW w:w="1103" w:type="dxa"/>
            <w:vAlign w:val="center"/>
            <w:hideMark/>
          </w:tcPr>
          <w:p w14:paraId="45B33DF0"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085C027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4CD8819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060DD3D2" w14:textId="77777777" w:rsidTr="00A17021">
        <w:trPr>
          <w:trHeight w:val="20"/>
        </w:trPr>
        <w:tc>
          <w:tcPr>
            <w:tcW w:w="2790" w:type="dxa"/>
            <w:tcBorders>
              <w:bottom w:val="single" w:sz="4" w:space="0" w:color="auto"/>
            </w:tcBorders>
            <w:vAlign w:val="center"/>
            <w:hideMark/>
          </w:tcPr>
          <w:p w14:paraId="37C2FCA6" w14:textId="77777777" w:rsidR="00346D78" w:rsidRPr="00672562" w:rsidRDefault="00346D78" w:rsidP="00A17021">
            <w:pPr>
              <w:spacing w:after="160" w:line="278" w:lineRule="auto"/>
              <w:rPr>
                <w:rFonts w:cs="Times New Roman"/>
                <w:sz w:val="20"/>
                <w:szCs w:val="20"/>
              </w:rPr>
            </w:pPr>
          </w:p>
        </w:tc>
        <w:tc>
          <w:tcPr>
            <w:tcW w:w="2430" w:type="dxa"/>
            <w:tcBorders>
              <w:bottom w:val="single" w:sz="4" w:space="0" w:color="auto"/>
            </w:tcBorders>
            <w:vAlign w:val="center"/>
            <w:hideMark/>
          </w:tcPr>
          <w:p w14:paraId="4E63501C"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tcBorders>
              <w:bottom w:val="single" w:sz="4" w:space="0" w:color="auto"/>
            </w:tcBorders>
            <w:vAlign w:val="center"/>
            <w:hideMark/>
          </w:tcPr>
          <w:p w14:paraId="530519E9"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3.99</w:t>
            </w:r>
          </w:p>
        </w:tc>
        <w:tc>
          <w:tcPr>
            <w:tcW w:w="1103" w:type="dxa"/>
            <w:tcBorders>
              <w:bottom w:val="single" w:sz="4" w:space="0" w:color="auto"/>
            </w:tcBorders>
            <w:vAlign w:val="center"/>
            <w:hideMark/>
          </w:tcPr>
          <w:p w14:paraId="05BFF463"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tcBorders>
              <w:bottom w:val="single" w:sz="4" w:space="0" w:color="auto"/>
            </w:tcBorders>
            <w:vAlign w:val="center"/>
            <w:hideMark/>
          </w:tcPr>
          <w:p w14:paraId="300F2D4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tcBorders>
              <w:bottom w:val="single" w:sz="4" w:space="0" w:color="auto"/>
            </w:tcBorders>
            <w:vAlign w:val="center"/>
            <w:hideMark/>
          </w:tcPr>
          <w:p w14:paraId="514959F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126603E7" w14:textId="77777777" w:rsidTr="00A17021">
        <w:trPr>
          <w:trHeight w:val="20"/>
        </w:trPr>
        <w:tc>
          <w:tcPr>
            <w:tcW w:w="2790" w:type="dxa"/>
            <w:tcBorders>
              <w:top w:val="single" w:sz="4" w:space="0" w:color="auto"/>
            </w:tcBorders>
            <w:vAlign w:val="center"/>
            <w:hideMark/>
          </w:tcPr>
          <w:p w14:paraId="5B83C666"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Coping Cards</w:t>
            </w:r>
          </w:p>
        </w:tc>
        <w:tc>
          <w:tcPr>
            <w:tcW w:w="2430" w:type="dxa"/>
            <w:tcBorders>
              <w:top w:val="single" w:sz="4" w:space="0" w:color="auto"/>
            </w:tcBorders>
            <w:vAlign w:val="center"/>
            <w:hideMark/>
          </w:tcPr>
          <w:p w14:paraId="695F3036" w14:textId="77777777" w:rsidR="00346D78" w:rsidRPr="00672562" w:rsidRDefault="00346D78" w:rsidP="00A17021">
            <w:pPr>
              <w:spacing w:after="160" w:line="278" w:lineRule="auto"/>
              <w:rPr>
                <w:rFonts w:cs="Times New Roman"/>
                <w:sz w:val="20"/>
                <w:szCs w:val="20"/>
              </w:rPr>
            </w:pPr>
          </w:p>
        </w:tc>
        <w:tc>
          <w:tcPr>
            <w:tcW w:w="1102" w:type="dxa"/>
            <w:tcBorders>
              <w:top w:val="single" w:sz="4" w:space="0" w:color="auto"/>
            </w:tcBorders>
            <w:vAlign w:val="center"/>
            <w:hideMark/>
          </w:tcPr>
          <w:p w14:paraId="03C97CCF"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63C5C7F8" w14:textId="77777777" w:rsidR="00346D78" w:rsidRPr="00672562" w:rsidRDefault="00346D78" w:rsidP="00A17021">
            <w:pPr>
              <w:spacing w:after="160" w:line="278" w:lineRule="auto"/>
              <w:jc w:val="center"/>
              <w:rPr>
                <w:rFonts w:cs="Times New Roman"/>
                <w:sz w:val="20"/>
                <w:szCs w:val="20"/>
              </w:rPr>
            </w:pPr>
          </w:p>
        </w:tc>
        <w:tc>
          <w:tcPr>
            <w:tcW w:w="1102" w:type="dxa"/>
            <w:tcBorders>
              <w:top w:val="single" w:sz="4" w:space="0" w:color="auto"/>
            </w:tcBorders>
            <w:vAlign w:val="center"/>
            <w:hideMark/>
          </w:tcPr>
          <w:p w14:paraId="35956CD5"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407CE4E5" w14:textId="77777777" w:rsidR="00346D78" w:rsidRPr="00672562" w:rsidRDefault="00346D78" w:rsidP="00A17021">
            <w:pPr>
              <w:spacing w:after="160" w:line="278" w:lineRule="auto"/>
              <w:jc w:val="center"/>
              <w:rPr>
                <w:rFonts w:cs="Times New Roman"/>
                <w:sz w:val="20"/>
                <w:szCs w:val="20"/>
              </w:rPr>
            </w:pPr>
          </w:p>
        </w:tc>
      </w:tr>
      <w:tr w:rsidR="00346D78" w:rsidRPr="002A5274" w14:paraId="3E3E3EE1" w14:textId="77777777" w:rsidTr="00A17021">
        <w:trPr>
          <w:trHeight w:val="20"/>
        </w:trPr>
        <w:tc>
          <w:tcPr>
            <w:tcW w:w="2790" w:type="dxa"/>
            <w:vAlign w:val="center"/>
            <w:hideMark/>
          </w:tcPr>
          <w:p w14:paraId="6EB07F2B"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Use Rating</w:t>
            </w:r>
          </w:p>
        </w:tc>
        <w:tc>
          <w:tcPr>
            <w:tcW w:w="2430" w:type="dxa"/>
            <w:vAlign w:val="center"/>
            <w:hideMark/>
          </w:tcPr>
          <w:p w14:paraId="040B950D"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4B61D41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2.11</w:t>
            </w:r>
          </w:p>
        </w:tc>
        <w:tc>
          <w:tcPr>
            <w:tcW w:w="1103" w:type="dxa"/>
            <w:vAlign w:val="center"/>
            <w:hideMark/>
          </w:tcPr>
          <w:p w14:paraId="03122AF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0.09</w:t>
            </w:r>
          </w:p>
        </w:tc>
        <w:tc>
          <w:tcPr>
            <w:tcW w:w="1102" w:type="dxa"/>
            <w:vAlign w:val="center"/>
            <w:hideMark/>
          </w:tcPr>
          <w:p w14:paraId="6B06C01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ns</w:t>
            </w:r>
          </w:p>
        </w:tc>
        <w:tc>
          <w:tcPr>
            <w:tcW w:w="1103" w:type="dxa"/>
            <w:vAlign w:val="center"/>
            <w:hideMark/>
          </w:tcPr>
          <w:p w14:paraId="7D04DA79"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1CC4A4C8" w14:textId="77777777" w:rsidTr="00A17021">
        <w:trPr>
          <w:trHeight w:val="20"/>
        </w:trPr>
        <w:tc>
          <w:tcPr>
            <w:tcW w:w="2790" w:type="dxa"/>
            <w:vAlign w:val="center"/>
            <w:hideMark/>
          </w:tcPr>
          <w:p w14:paraId="74FF1F5E"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7A634CFC"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4E8D58D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2.00</w:t>
            </w:r>
          </w:p>
        </w:tc>
        <w:tc>
          <w:tcPr>
            <w:tcW w:w="1103" w:type="dxa"/>
            <w:vAlign w:val="center"/>
            <w:hideMark/>
          </w:tcPr>
          <w:p w14:paraId="1F96A66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717A4C8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7BD7B19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14D33118" w14:textId="77777777" w:rsidTr="00A17021">
        <w:trPr>
          <w:trHeight w:val="20"/>
        </w:trPr>
        <w:tc>
          <w:tcPr>
            <w:tcW w:w="2790" w:type="dxa"/>
            <w:vAlign w:val="center"/>
            <w:hideMark/>
          </w:tcPr>
          <w:p w14:paraId="3EF245AD"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6F67E073"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vAlign w:val="center"/>
            <w:hideMark/>
          </w:tcPr>
          <w:p w14:paraId="7F1A9D7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1.94</w:t>
            </w:r>
          </w:p>
        </w:tc>
        <w:tc>
          <w:tcPr>
            <w:tcW w:w="1103" w:type="dxa"/>
            <w:vAlign w:val="center"/>
            <w:hideMark/>
          </w:tcPr>
          <w:p w14:paraId="3B183B5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2BA979B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1FAEED52"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310BCF75" w14:textId="77777777" w:rsidTr="00A17021">
        <w:trPr>
          <w:trHeight w:val="20"/>
        </w:trPr>
        <w:tc>
          <w:tcPr>
            <w:tcW w:w="2790" w:type="dxa"/>
            <w:vAlign w:val="center"/>
            <w:hideMark/>
          </w:tcPr>
          <w:p w14:paraId="050F1215"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Helpfulness Rating</w:t>
            </w:r>
          </w:p>
        </w:tc>
        <w:tc>
          <w:tcPr>
            <w:tcW w:w="2430" w:type="dxa"/>
            <w:vAlign w:val="center"/>
            <w:hideMark/>
          </w:tcPr>
          <w:p w14:paraId="2E355120"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4E75F38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2.65</w:t>
            </w:r>
          </w:p>
        </w:tc>
        <w:tc>
          <w:tcPr>
            <w:tcW w:w="1103" w:type="dxa"/>
            <w:vAlign w:val="center"/>
            <w:hideMark/>
          </w:tcPr>
          <w:p w14:paraId="1E0C065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3.74</w:t>
            </w:r>
          </w:p>
        </w:tc>
        <w:tc>
          <w:tcPr>
            <w:tcW w:w="1102" w:type="dxa"/>
            <w:vAlign w:val="center"/>
            <w:hideMark/>
          </w:tcPr>
          <w:p w14:paraId="4E5B127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.033</w:t>
            </w:r>
          </w:p>
        </w:tc>
        <w:tc>
          <w:tcPr>
            <w:tcW w:w="1103" w:type="dxa"/>
            <w:vAlign w:val="center"/>
            <w:hideMark/>
          </w:tcPr>
          <w:p w14:paraId="16E02C2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.16***</w:t>
            </w:r>
          </w:p>
        </w:tc>
      </w:tr>
      <w:tr w:rsidR="00346D78" w:rsidRPr="002A5274" w14:paraId="049D272D" w14:textId="77777777" w:rsidTr="00A17021">
        <w:trPr>
          <w:trHeight w:val="20"/>
        </w:trPr>
        <w:tc>
          <w:tcPr>
            <w:tcW w:w="2790" w:type="dxa"/>
            <w:vAlign w:val="center"/>
            <w:hideMark/>
          </w:tcPr>
          <w:p w14:paraId="2D2280D0"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1FB48614"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6B8870E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3.13</w:t>
            </w:r>
          </w:p>
        </w:tc>
        <w:tc>
          <w:tcPr>
            <w:tcW w:w="1103" w:type="dxa"/>
            <w:vAlign w:val="center"/>
            <w:hideMark/>
          </w:tcPr>
          <w:p w14:paraId="6C610EC2"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6280209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686EFAE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3302F7E0" w14:textId="77777777" w:rsidTr="00A17021">
        <w:trPr>
          <w:trHeight w:val="20"/>
        </w:trPr>
        <w:tc>
          <w:tcPr>
            <w:tcW w:w="2790" w:type="dxa"/>
            <w:tcBorders>
              <w:bottom w:val="single" w:sz="4" w:space="0" w:color="auto"/>
            </w:tcBorders>
            <w:vAlign w:val="center"/>
            <w:hideMark/>
          </w:tcPr>
          <w:p w14:paraId="1BF48AFE" w14:textId="77777777" w:rsidR="00346D78" w:rsidRPr="00672562" w:rsidRDefault="00346D78" w:rsidP="00A17021">
            <w:pPr>
              <w:spacing w:after="160" w:line="278" w:lineRule="auto"/>
              <w:rPr>
                <w:rFonts w:cs="Times New Roman"/>
                <w:sz w:val="20"/>
                <w:szCs w:val="20"/>
              </w:rPr>
            </w:pPr>
          </w:p>
        </w:tc>
        <w:tc>
          <w:tcPr>
            <w:tcW w:w="2430" w:type="dxa"/>
            <w:tcBorders>
              <w:bottom w:val="single" w:sz="4" w:space="0" w:color="auto"/>
            </w:tcBorders>
            <w:vAlign w:val="center"/>
            <w:hideMark/>
          </w:tcPr>
          <w:p w14:paraId="0F84FB1B"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tcBorders>
              <w:bottom w:val="single" w:sz="4" w:space="0" w:color="auto"/>
            </w:tcBorders>
            <w:vAlign w:val="center"/>
            <w:hideMark/>
          </w:tcPr>
          <w:p w14:paraId="7BA20390"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3.87</w:t>
            </w:r>
          </w:p>
        </w:tc>
        <w:tc>
          <w:tcPr>
            <w:tcW w:w="1103" w:type="dxa"/>
            <w:tcBorders>
              <w:bottom w:val="single" w:sz="4" w:space="0" w:color="auto"/>
            </w:tcBorders>
            <w:vAlign w:val="center"/>
            <w:hideMark/>
          </w:tcPr>
          <w:p w14:paraId="116F937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tcBorders>
              <w:bottom w:val="single" w:sz="4" w:space="0" w:color="auto"/>
            </w:tcBorders>
            <w:vAlign w:val="center"/>
            <w:hideMark/>
          </w:tcPr>
          <w:p w14:paraId="0079024B"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tcBorders>
              <w:bottom w:val="single" w:sz="4" w:space="0" w:color="auto"/>
            </w:tcBorders>
            <w:vAlign w:val="center"/>
            <w:hideMark/>
          </w:tcPr>
          <w:p w14:paraId="3D59A45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655DA575" w14:textId="77777777" w:rsidTr="00A17021">
        <w:trPr>
          <w:trHeight w:val="20"/>
        </w:trPr>
        <w:tc>
          <w:tcPr>
            <w:tcW w:w="2790" w:type="dxa"/>
            <w:tcBorders>
              <w:top w:val="single" w:sz="4" w:space="0" w:color="auto"/>
            </w:tcBorders>
            <w:vAlign w:val="center"/>
            <w:hideMark/>
          </w:tcPr>
          <w:p w14:paraId="13EC0FE3"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lastRenderedPageBreak/>
              <w:t>Means Restriction</w:t>
            </w:r>
          </w:p>
        </w:tc>
        <w:tc>
          <w:tcPr>
            <w:tcW w:w="2430" w:type="dxa"/>
            <w:tcBorders>
              <w:top w:val="single" w:sz="4" w:space="0" w:color="auto"/>
            </w:tcBorders>
            <w:vAlign w:val="center"/>
            <w:hideMark/>
          </w:tcPr>
          <w:p w14:paraId="622A4431" w14:textId="77777777" w:rsidR="00346D78" w:rsidRPr="00672562" w:rsidRDefault="00346D78" w:rsidP="00A17021">
            <w:pPr>
              <w:spacing w:after="160" w:line="278" w:lineRule="auto"/>
              <w:rPr>
                <w:rFonts w:cs="Times New Roman"/>
                <w:sz w:val="20"/>
                <w:szCs w:val="20"/>
              </w:rPr>
            </w:pPr>
          </w:p>
        </w:tc>
        <w:tc>
          <w:tcPr>
            <w:tcW w:w="1102" w:type="dxa"/>
            <w:tcBorders>
              <w:top w:val="single" w:sz="4" w:space="0" w:color="auto"/>
            </w:tcBorders>
            <w:vAlign w:val="center"/>
            <w:hideMark/>
          </w:tcPr>
          <w:p w14:paraId="0A86E5A5"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7424963F" w14:textId="77777777" w:rsidR="00346D78" w:rsidRPr="00672562" w:rsidRDefault="00346D78" w:rsidP="00A17021">
            <w:pPr>
              <w:spacing w:after="160" w:line="278" w:lineRule="auto"/>
              <w:jc w:val="center"/>
              <w:rPr>
                <w:rFonts w:cs="Times New Roman"/>
                <w:sz w:val="20"/>
                <w:szCs w:val="20"/>
              </w:rPr>
            </w:pPr>
          </w:p>
        </w:tc>
        <w:tc>
          <w:tcPr>
            <w:tcW w:w="1102" w:type="dxa"/>
            <w:tcBorders>
              <w:top w:val="single" w:sz="4" w:space="0" w:color="auto"/>
            </w:tcBorders>
            <w:vAlign w:val="center"/>
            <w:hideMark/>
          </w:tcPr>
          <w:p w14:paraId="3AA4EEA4" w14:textId="77777777" w:rsidR="00346D78" w:rsidRPr="00672562" w:rsidRDefault="00346D78" w:rsidP="00A17021">
            <w:pPr>
              <w:spacing w:after="160" w:line="278" w:lineRule="auto"/>
              <w:jc w:val="center"/>
              <w:rPr>
                <w:rFonts w:cs="Times New Roman"/>
                <w:sz w:val="20"/>
                <w:szCs w:val="20"/>
              </w:rPr>
            </w:pPr>
          </w:p>
        </w:tc>
        <w:tc>
          <w:tcPr>
            <w:tcW w:w="1103" w:type="dxa"/>
            <w:tcBorders>
              <w:top w:val="single" w:sz="4" w:space="0" w:color="auto"/>
            </w:tcBorders>
            <w:vAlign w:val="center"/>
            <w:hideMark/>
          </w:tcPr>
          <w:p w14:paraId="6463D7E0" w14:textId="77777777" w:rsidR="00346D78" w:rsidRPr="00672562" w:rsidRDefault="00346D78" w:rsidP="00A17021">
            <w:pPr>
              <w:spacing w:after="160" w:line="278" w:lineRule="auto"/>
              <w:jc w:val="center"/>
              <w:rPr>
                <w:rFonts w:cs="Times New Roman"/>
                <w:sz w:val="20"/>
                <w:szCs w:val="20"/>
              </w:rPr>
            </w:pPr>
          </w:p>
        </w:tc>
      </w:tr>
      <w:tr w:rsidR="00346D78" w:rsidRPr="002A5274" w14:paraId="360FD5DB" w14:textId="77777777" w:rsidTr="00A17021">
        <w:trPr>
          <w:trHeight w:val="20"/>
        </w:trPr>
        <w:tc>
          <w:tcPr>
            <w:tcW w:w="2790" w:type="dxa"/>
            <w:vAlign w:val="center"/>
            <w:hideMark/>
          </w:tcPr>
          <w:p w14:paraId="54A167B9"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Use Rating</w:t>
            </w:r>
          </w:p>
        </w:tc>
        <w:tc>
          <w:tcPr>
            <w:tcW w:w="2430" w:type="dxa"/>
            <w:vAlign w:val="center"/>
            <w:hideMark/>
          </w:tcPr>
          <w:p w14:paraId="4F150577"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747F773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2.21</w:t>
            </w:r>
          </w:p>
        </w:tc>
        <w:tc>
          <w:tcPr>
            <w:tcW w:w="1103" w:type="dxa"/>
            <w:vAlign w:val="center"/>
            <w:hideMark/>
          </w:tcPr>
          <w:p w14:paraId="590DD37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0.33</w:t>
            </w:r>
          </w:p>
        </w:tc>
        <w:tc>
          <w:tcPr>
            <w:tcW w:w="1102" w:type="dxa"/>
            <w:vAlign w:val="center"/>
            <w:hideMark/>
          </w:tcPr>
          <w:p w14:paraId="027695E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ns</w:t>
            </w:r>
          </w:p>
        </w:tc>
        <w:tc>
          <w:tcPr>
            <w:tcW w:w="1103" w:type="dxa"/>
            <w:vAlign w:val="center"/>
            <w:hideMark/>
          </w:tcPr>
          <w:p w14:paraId="1A61D40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58ADFFEF" w14:textId="77777777" w:rsidTr="00A17021">
        <w:trPr>
          <w:trHeight w:val="20"/>
        </w:trPr>
        <w:tc>
          <w:tcPr>
            <w:tcW w:w="2790" w:type="dxa"/>
            <w:vAlign w:val="center"/>
            <w:hideMark/>
          </w:tcPr>
          <w:p w14:paraId="188BFDB7"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4D911013"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51228464"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2.19</w:t>
            </w:r>
          </w:p>
        </w:tc>
        <w:tc>
          <w:tcPr>
            <w:tcW w:w="1103" w:type="dxa"/>
            <w:vAlign w:val="center"/>
            <w:hideMark/>
          </w:tcPr>
          <w:p w14:paraId="343DC1DA"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404293A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55271DC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38266FCB" w14:textId="77777777" w:rsidTr="00A17021">
        <w:trPr>
          <w:trHeight w:val="20"/>
        </w:trPr>
        <w:tc>
          <w:tcPr>
            <w:tcW w:w="2790" w:type="dxa"/>
            <w:vAlign w:val="center"/>
            <w:hideMark/>
          </w:tcPr>
          <w:p w14:paraId="264046D9"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0AEAB034"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vAlign w:val="center"/>
            <w:hideMark/>
          </w:tcPr>
          <w:p w14:paraId="6876654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1.97</w:t>
            </w:r>
          </w:p>
        </w:tc>
        <w:tc>
          <w:tcPr>
            <w:tcW w:w="1103" w:type="dxa"/>
            <w:vAlign w:val="center"/>
            <w:hideMark/>
          </w:tcPr>
          <w:p w14:paraId="21190D79"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59268DE8"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371EEAE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4886318C" w14:textId="77777777" w:rsidTr="00A17021">
        <w:trPr>
          <w:trHeight w:val="20"/>
        </w:trPr>
        <w:tc>
          <w:tcPr>
            <w:tcW w:w="2790" w:type="dxa"/>
            <w:vAlign w:val="center"/>
            <w:hideMark/>
          </w:tcPr>
          <w:p w14:paraId="359B8A5A"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Average Helpfulness Rating</w:t>
            </w:r>
          </w:p>
        </w:tc>
        <w:tc>
          <w:tcPr>
            <w:tcW w:w="2430" w:type="dxa"/>
            <w:vAlign w:val="center"/>
            <w:hideMark/>
          </w:tcPr>
          <w:p w14:paraId="2B175CBD"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Non-Responders</w:t>
            </w:r>
          </w:p>
        </w:tc>
        <w:tc>
          <w:tcPr>
            <w:tcW w:w="1102" w:type="dxa"/>
            <w:vAlign w:val="center"/>
            <w:hideMark/>
          </w:tcPr>
          <w:p w14:paraId="3A4D816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2.46</w:t>
            </w:r>
          </w:p>
        </w:tc>
        <w:tc>
          <w:tcPr>
            <w:tcW w:w="1103" w:type="dxa"/>
            <w:vAlign w:val="center"/>
            <w:hideMark/>
          </w:tcPr>
          <w:p w14:paraId="4A6AE001"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5.47</w:t>
            </w:r>
          </w:p>
        </w:tc>
        <w:tc>
          <w:tcPr>
            <w:tcW w:w="1102" w:type="dxa"/>
            <w:vAlign w:val="center"/>
            <w:hideMark/>
          </w:tcPr>
          <w:p w14:paraId="0120630E"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.007</w:t>
            </w:r>
          </w:p>
        </w:tc>
        <w:tc>
          <w:tcPr>
            <w:tcW w:w="1103" w:type="dxa"/>
            <w:vAlign w:val="center"/>
            <w:hideMark/>
          </w:tcPr>
          <w:p w14:paraId="5284B7A6"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.17***</w:t>
            </w:r>
          </w:p>
        </w:tc>
      </w:tr>
      <w:tr w:rsidR="00346D78" w:rsidRPr="002A5274" w14:paraId="334F5FEA" w14:textId="77777777" w:rsidTr="00A17021">
        <w:trPr>
          <w:trHeight w:val="20"/>
        </w:trPr>
        <w:tc>
          <w:tcPr>
            <w:tcW w:w="2790" w:type="dxa"/>
            <w:vAlign w:val="center"/>
            <w:hideMark/>
          </w:tcPr>
          <w:p w14:paraId="5F27AFC9" w14:textId="77777777" w:rsidR="00346D78" w:rsidRPr="00672562" w:rsidRDefault="00346D78" w:rsidP="00A17021">
            <w:pPr>
              <w:spacing w:after="160" w:line="278" w:lineRule="auto"/>
              <w:rPr>
                <w:rFonts w:cs="Times New Roman"/>
                <w:sz w:val="20"/>
                <w:szCs w:val="20"/>
              </w:rPr>
            </w:pPr>
          </w:p>
        </w:tc>
        <w:tc>
          <w:tcPr>
            <w:tcW w:w="2430" w:type="dxa"/>
            <w:vAlign w:val="center"/>
            <w:hideMark/>
          </w:tcPr>
          <w:p w14:paraId="108F8964"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Partial Responders</w:t>
            </w:r>
          </w:p>
        </w:tc>
        <w:tc>
          <w:tcPr>
            <w:tcW w:w="1102" w:type="dxa"/>
            <w:vAlign w:val="center"/>
            <w:hideMark/>
          </w:tcPr>
          <w:p w14:paraId="6D966CD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3.26</w:t>
            </w:r>
          </w:p>
        </w:tc>
        <w:tc>
          <w:tcPr>
            <w:tcW w:w="1103" w:type="dxa"/>
            <w:vAlign w:val="center"/>
            <w:hideMark/>
          </w:tcPr>
          <w:p w14:paraId="3EDB2237"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vAlign w:val="center"/>
            <w:hideMark/>
          </w:tcPr>
          <w:p w14:paraId="77BC8034"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vAlign w:val="center"/>
            <w:hideMark/>
          </w:tcPr>
          <w:p w14:paraId="158F3E22"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r w:rsidR="00346D78" w:rsidRPr="002A5274" w14:paraId="07354D58" w14:textId="77777777" w:rsidTr="00A17021">
        <w:trPr>
          <w:trHeight w:val="20"/>
        </w:trPr>
        <w:tc>
          <w:tcPr>
            <w:tcW w:w="2790" w:type="dxa"/>
            <w:tcBorders>
              <w:bottom w:val="single" w:sz="4" w:space="0" w:color="auto"/>
            </w:tcBorders>
            <w:vAlign w:val="center"/>
            <w:hideMark/>
          </w:tcPr>
          <w:p w14:paraId="071F6B61" w14:textId="77777777" w:rsidR="00346D78" w:rsidRPr="00672562" w:rsidRDefault="00346D78" w:rsidP="00A17021">
            <w:pPr>
              <w:spacing w:after="160" w:line="278" w:lineRule="auto"/>
              <w:rPr>
                <w:rFonts w:cs="Times New Roman"/>
                <w:sz w:val="20"/>
                <w:szCs w:val="20"/>
              </w:rPr>
            </w:pPr>
          </w:p>
        </w:tc>
        <w:tc>
          <w:tcPr>
            <w:tcW w:w="2430" w:type="dxa"/>
            <w:tcBorders>
              <w:bottom w:val="single" w:sz="4" w:space="0" w:color="auto"/>
            </w:tcBorders>
            <w:vAlign w:val="center"/>
            <w:hideMark/>
          </w:tcPr>
          <w:p w14:paraId="5B6713C5" w14:textId="77777777" w:rsidR="00346D78" w:rsidRPr="00672562" w:rsidRDefault="00346D78" w:rsidP="00A17021">
            <w:pPr>
              <w:spacing w:after="160" w:line="278" w:lineRule="auto"/>
              <w:rPr>
                <w:rFonts w:cs="Times New Roman"/>
                <w:sz w:val="20"/>
                <w:szCs w:val="20"/>
              </w:rPr>
            </w:pPr>
            <w:r w:rsidRPr="00672562">
              <w:rPr>
                <w:rFonts w:cs="Times New Roman"/>
                <w:sz w:val="20"/>
                <w:szCs w:val="20"/>
              </w:rPr>
              <w:t>Full Responders</w:t>
            </w:r>
          </w:p>
        </w:tc>
        <w:tc>
          <w:tcPr>
            <w:tcW w:w="1102" w:type="dxa"/>
            <w:tcBorders>
              <w:bottom w:val="single" w:sz="4" w:space="0" w:color="auto"/>
            </w:tcBorders>
            <w:vAlign w:val="center"/>
            <w:hideMark/>
          </w:tcPr>
          <w:p w14:paraId="1C6E5ADD"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3.70</w:t>
            </w:r>
          </w:p>
        </w:tc>
        <w:tc>
          <w:tcPr>
            <w:tcW w:w="1103" w:type="dxa"/>
            <w:tcBorders>
              <w:bottom w:val="single" w:sz="4" w:space="0" w:color="auto"/>
            </w:tcBorders>
            <w:vAlign w:val="center"/>
            <w:hideMark/>
          </w:tcPr>
          <w:p w14:paraId="50A09225"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2" w:type="dxa"/>
            <w:tcBorders>
              <w:bottom w:val="single" w:sz="4" w:space="0" w:color="auto"/>
            </w:tcBorders>
            <w:vAlign w:val="center"/>
            <w:hideMark/>
          </w:tcPr>
          <w:p w14:paraId="3B1388AF"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c>
          <w:tcPr>
            <w:tcW w:w="1103" w:type="dxa"/>
            <w:tcBorders>
              <w:bottom w:val="single" w:sz="4" w:space="0" w:color="auto"/>
            </w:tcBorders>
            <w:vAlign w:val="center"/>
            <w:hideMark/>
          </w:tcPr>
          <w:p w14:paraId="776F62FC" w14:textId="77777777" w:rsidR="00346D78" w:rsidRPr="00672562" w:rsidRDefault="00346D78" w:rsidP="00A17021">
            <w:pPr>
              <w:spacing w:after="160" w:line="278" w:lineRule="auto"/>
              <w:jc w:val="center"/>
              <w:rPr>
                <w:rFonts w:cs="Times New Roman"/>
                <w:sz w:val="20"/>
                <w:szCs w:val="20"/>
              </w:rPr>
            </w:pPr>
            <w:r w:rsidRPr="00672562">
              <w:rPr>
                <w:rFonts w:cs="Times New Roman"/>
                <w:sz w:val="20"/>
                <w:szCs w:val="20"/>
              </w:rPr>
              <w:t>—</w:t>
            </w:r>
          </w:p>
        </w:tc>
      </w:tr>
    </w:tbl>
    <w:p w14:paraId="22E4DCBF" w14:textId="77777777" w:rsidR="00346D78" w:rsidRDefault="00346D78" w:rsidP="00346D78">
      <w:pPr>
        <w:contextualSpacing/>
        <w:rPr>
          <w:rFonts w:ascii="Times New Roman" w:hAnsi="Times New Roman" w:cs="Times New Roman"/>
          <w:i/>
          <w:iCs/>
          <w:sz w:val="20"/>
          <w:szCs w:val="20"/>
        </w:rPr>
      </w:pPr>
      <w:r>
        <w:rPr>
          <w:rFonts w:ascii="Times New Roman" w:hAnsi="Times New Roman" w:cs="Times New Roman"/>
          <w:i/>
          <w:iCs/>
          <w:sz w:val="20"/>
          <w:szCs w:val="20"/>
        </w:rPr>
        <w:t>*Small effect: n</w:t>
      </w:r>
      <w:r>
        <w:rPr>
          <w:rFonts w:ascii="Times New Roman" w:hAnsi="Times New Roman" w:cs="Times New Roman"/>
          <w:i/>
          <w:iCs/>
          <w:sz w:val="20"/>
          <w:szCs w:val="20"/>
          <w:vertAlign w:val="superscript"/>
        </w:rPr>
        <w:t>2</w:t>
      </w:r>
      <w:r>
        <w:rPr>
          <w:rFonts w:ascii="Times New Roman" w:hAnsi="Times New Roman" w:cs="Times New Roman"/>
          <w:i/>
          <w:iCs/>
          <w:sz w:val="20"/>
          <w:szCs w:val="20"/>
        </w:rPr>
        <w:t>=.01</w:t>
      </w:r>
    </w:p>
    <w:p w14:paraId="40F55292" w14:textId="77777777" w:rsidR="00346D78" w:rsidRDefault="00346D78" w:rsidP="00346D78">
      <w:pPr>
        <w:contextualSpacing/>
        <w:rPr>
          <w:rFonts w:ascii="Times New Roman" w:hAnsi="Times New Roman" w:cs="Times New Roman"/>
          <w:i/>
          <w:iCs/>
          <w:sz w:val="20"/>
          <w:szCs w:val="20"/>
        </w:rPr>
      </w:pPr>
      <w:r>
        <w:rPr>
          <w:rFonts w:ascii="Times New Roman" w:hAnsi="Times New Roman" w:cs="Times New Roman"/>
          <w:i/>
          <w:iCs/>
          <w:sz w:val="20"/>
          <w:szCs w:val="20"/>
        </w:rPr>
        <w:t>**Medium effect: n</w:t>
      </w:r>
      <w:r>
        <w:rPr>
          <w:rFonts w:ascii="Times New Roman" w:hAnsi="Times New Roman" w:cs="Times New Roman"/>
          <w:i/>
          <w:iCs/>
          <w:sz w:val="20"/>
          <w:szCs w:val="20"/>
          <w:vertAlign w:val="superscript"/>
        </w:rPr>
        <w:t>2</w:t>
      </w:r>
      <w:r>
        <w:rPr>
          <w:rFonts w:ascii="Times New Roman" w:hAnsi="Times New Roman" w:cs="Times New Roman"/>
          <w:i/>
          <w:iCs/>
          <w:sz w:val="20"/>
          <w:szCs w:val="20"/>
        </w:rPr>
        <w:t>=.06</w:t>
      </w:r>
    </w:p>
    <w:p w14:paraId="1E6D73F2" w14:textId="77777777" w:rsidR="00346D78" w:rsidRDefault="00346D78" w:rsidP="00346D78">
      <w:pPr>
        <w:contextualSpacing/>
        <w:rPr>
          <w:rFonts w:ascii="Times New Roman" w:hAnsi="Times New Roman" w:cs="Times New Roman"/>
          <w:i/>
          <w:iCs/>
          <w:sz w:val="20"/>
          <w:szCs w:val="20"/>
        </w:rPr>
      </w:pPr>
      <w:r>
        <w:rPr>
          <w:rFonts w:ascii="Times New Roman" w:hAnsi="Times New Roman" w:cs="Times New Roman"/>
          <w:i/>
          <w:iCs/>
          <w:sz w:val="20"/>
          <w:szCs w:val="20"/>
        </w:rPr>
        <w:t>***Large effect: n</w:t>
      </w:r>
      <w:r>
        <w:rPr>
          <w:rFonts w:ascii="Times New Roman" w:hAnsi="Times New Roman" w:cs="Times New Roman"/>
          <w:i/>
          <w:iCs/>
          <w:sz w:val="20"/>
          <w:szCs w:val="20"/>
          <w:vertAlign w:val="superscript"/>
        </w:rPr>
        <w:t>2</w:t>
      </w:r>
      <w:r>
        <w:rPr>
          <w:rFonts w:ascii="Times New Roman" w:hAnsi="Times New Roman" w:cs="Times New Roman"/>
          <w:i/>
          <w:iCs/>
          <w:sz w:val="20"/>
          <w:szCs w:val="20"/>
        </w:rPr>
        <w:t>=.14</w:t>
      </w:r>
    </w:p>
    <w:p w14:paraId="6805DAA3" w14:textId="77777777" w:rsidR="00346D78" w:rsidRDefault="00346D78" w:rsidP="00346D78">
      <w:pPr>
        <w:contextualSpacing/>
        <w:rPr>
          <w:rFonts w:ascii="Times New Roman" w:hAnsi="Times New Roman" w:cs="Times New Roman"/>
          <w:i/>
          <w:iCs/>
          <w:sz w:val="20"/>
          <w:szCs w:val="20"/>
        </w:rPr>
      </w:pPr>
    </w:p>
    <w:p w14:paraId="43A1833F" w14:textId="77777777" w:rsidR="00346D78" w:rsidRDefault="00346D78" w:rsidP="00346D78">
      <w:pPr>
        <w:contextualSpacing/>
        <w:rPr>
          <w:rFonts w:ascii="Times New Roman" w:hAnsi="Times New Roman" w:cs="Times New Roman"/>
          <w:i/>
          <w:iCs/>
          <w:sz w:val="20"/>
          <w:szCs w:val="20"/>
        </w:rPr>
      </w:pPr>
    </w:p>
    <w:p w14:paraId="2634CE2C" w14:textId="77777777" w:rsidR="00346D78" w:rsidRDefault="00346D78" w:rsidP="00346D78">
      <w:pPr>
        <w:contextualSpacing/>
        <w:rPr>
          <w:rFonts w:ascii="Times New Roman" w:hAnsi="Times New Roman" w:cs="Times New Roman"/>
          <w:i/>
          <w:iCs/>
          <w:sz w:val="20"/>
          <w:szCs w:val="20"/>
        </w:rPr>
      </w:pPr>
    </w:p>
    <w:p w14:paraId="52D62FFF" w14:textId="77777777" w:rsidR="00346D78" w:rsidRDefault="00346D78" w:rsidP="00346D78">
      <w:pPr>
        <w:contextualSpacing/>
        <w:rPr>
          <w:rFonts w:ascii="Times New Roman" w:hAnsi="Times New Roman" w:cs="Times New Roman"/>
          <w:i/>
          <w:iCs/>
          <w:sz w:val="20"/>
          <w:szCs w:val="20"/>
        </w:rPr>
      </w:pPr>
    </w:p>
    <w:p w14:paraId="7DFC2472" w14:textId="62F5D82C" w:rsidR="00DC102F" w:rsidRDefault="00DC102F">
      <w:pPr>
        <w:rPr>
          <w:rFonts w:ascii="Times New Roman" w:hAnsi="Times New Roman" w:cs="Times New Roman"/>
          <w:i/>
          <w:iCs/>
          <w:sz w:val="20"/>
          <w:szCs w:val="20"/>
        </w:rPr>
      </w:pPr>
      <w:r>
        <w:rPr>
          <w:rFonts w:ascii="Times New Roman" w:hAnsi="Times New Roman" w:cs="Times New Roman"/>
          <w:i/>
          <w:iCs/>
          <w:sz w:val="20"/>
          <w:szCs w:val="20"/>
        </w:rPr>
        <w:br w:type="page"/>
      </w:r>
    </w:p>
    <w:p w14:paraId="3F7ECFC2" w14:textId="77777777" w:rsidR="0023277C" w:rsidRPr="004A7796" w:rsidRDefault="0023277C" w:rsidP="0023277C">
      <w:pPr>
        <w:contextualSpacing/>
        <w:rPr>
          <w:rFonts w:ascii="Times New Roman" w:hAnsi="Times New Roman" w:cs="Times New Roman"/>
          <w:b/>
          <w:bCs/>
        </w:rPr>
      </w:pPr>
      <w:r>
        <w:rPr>
          <w:rFonts w:ascii="Times New Roman" w:hAnsi="Times New Roman" w:cs="Times New Roman"/>
          <w:b/>
          <w:bCs/>
        </w:rPr>
        <w:lastRenderedPageBreak/>
        <w:t>Table 3</w:t>
      </w:r>
    </w:p>
    <w:p w14:paraId="7EF50E27" w14:textId="77777777" w:rsidR="0023277C" w:rsidRPr="00604900" w:rsidRDefault="0023277C" w:rsidP="0023277C">
      <w:pPr>
        <w:contextualSpacing/>
        <w:rPr>
          <w:rFonts w:ascii="Times New Roman" w:hAnsi="Times New Roman" w:cs="Times New Roman"/>
          <w:i/>
          <w:iCs/>
        </w:rPr>
      </w:pPr>
      <w:r>
        <w:rPr>
          <w:rFonts w:ascii="Times New Roman" w:hAnsi="Times New Roman" w:cs="Times New Roman"/>
          <w:i/>
          <w:iCs/>
        </w:rPr>
        <w:t>Treatment Responders and Non-Responders Differences on Intake Assessment Measures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0"/>
        <w:gridCol w:w="1395"/>
        <w:gridCol w:w="1395"/>
        <w:gridCol w:w="1395"/>
        <w:gridCol w:w="1395"/>
      </w:tblGrid>
      <w:tr w:rsidR="0023277C" w:rsidRPr="00604900" w14:paraId="795DBB06" w14:textId="77777777" w:rsidTr="00AF0B75">
        <w:trPr>
          <w:tblHeader/>
          <w:tblCellSpacing w:w="15" w:type="dxa"/>
        </w:trPr>
        <w:tc>
          <w:tcPr>
            <w:tcW w:w="3735" w:type="dxa"/>
            <w:tcBorders>
              <w:top w:val="single" w:sz="4" w:space="0" w:color="auto"/>
              <w:bottom w:val="single" w:sz="4" w:space="0" w:color="auto"/>
            </w:tcBorders>
            <w:vAlign w:val="center"/>
            <w:hideMark/>
          </w:tcPr>
          <w:p w14:paraId="1A2CF5B7"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Intake Measure and Responder Group</w:t>
            </w:r>
          </w:p>
        </w:tc>
        <w:tc>
          <w:tcPr>
            <w:tcW w:w="1365" w:type="dxa"/>
            <w:tcBorders>
              <w:top w:val="single" w:sz="4" w:space="0" w:color="auto"/>
              <w:bottom w:val="single" w:sz="4" w:space="0" w:color="auto"/>
            </w:tcBorders>
            <w:vAlign w:val="center"/>
            <w:hideMark/>
          </w:tcPr>
          <w:p w14:paraId="49DB379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M</w:t>
            </w:r>
          </w:p>
        </w:tc>
        <w:tc>
          <w:tcPr>
            <w:tcW w:w="1365" w:type="dxa"/>
            <w:tcBorders>
              <w:top w:val="single" w:sz="4" w:space="0" w:color="auto"/>
              <w:bottom w:val="single" w:sz="4" w:space="0" w:color="auto"/>
            </w:tcBorders>
            <w:vAlign w:val="center"/>
            <w:hideMark/>
          </w:tcPr>
          <w:p w14:paraId="79F0419E"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F</w:t>
            </w:r>
            <w:r>
              <w:rPr>
                <w:rFonts w:ascii="Times New Roman" w:eastAsia="Times New Roman" w:hAnsi="Times New Roman" w:cs="Times New Roman"/>
                <w:color w:val="000000"/>
                <w:kern w:val="0"/>
                <w14:ligatures w14:val="none"/>
              </w:rPr>
              <w:t xml:space="preserve"> </w:t>
            </w:r>
            <w:r w:rsidRPr="00604900">
              <w:rPr>
                <w:rFonts w:ascii="Times New Roman" w:eastAsia="Times New Roman" w:hAnsi="Times New Roman" w:cs="Times New Roman"/>
                <w:color w:val="000000"/>
                <w:kern w:val="0"/>
                <w14:ligatures w14:val="none"/>
              </w:rPr>
              <w:t>(2, 79)</w:t>
            </w:r>
          </w:p>
        </w:tc>
        <w:tc>
          <w:tcPr>
            <w:tcW w:w="1365" w:type="dxa"/>
            <w:tcBorders>
              <w:top w:val="single" w:sz="4" w:space="0" w:color="auto"/>
              <w:bottom w:val="single" w:sz="4" w:space="0" w:color="auto"/>
            </w:tcBorders>
            <w:vAlign w:val="center"/>
            <w:hideMark/>
          </w:tcPr>
          <w:p w14:paraId="11123938"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p</w:t>
            </w:r>
          </w:p>
        </w:tc>
        <w:tc>
          <w:tcPr>
            <w:tcW w:w="1350" w:type="dxa"/>
            <w:tcBorders>
              <w:top w:val="single" w:sz="4" w:space="0" w:color="auto"/>
              <w:bottom w:val="single" w:sz="4" w:space="0" w:color="auto"/>
            </w:tcBorders>
            <w:vAlign w:val="center"/>
            <w:hideMark/>
          </w:tcPr>
          <w:p w14:paraId="0329E5B3"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η²</w:t>
            </w:r>
          </w:p>
        </w:tc>
      </w:tr>
      <w:tr w:rsidR="0023277C" w:rsidRPr="00604900" w14:paraId="58C95162" w14:textId="77777777" w:rsidTr="00AF0B75">
        <w:trPr>
          <w:tblCellSpacing w:w="15" w:type="dxa"/>
        </w:trPr>
        <w:tc>
          <w:tcPr>
            <w:tcW w:w="3735" w:type="dxa"/>
            <w:vAlign w:val="center"/>
            <w:hideMark/>
          </w:tcPr>
          <w:p w14:paraId="1BDCBB76" w14:textId="77777777" w:rsidR="0023277C" w:rsidRPr="00604900" w:rsidRDefault="0023277C" w:rsidP="00AF0B75">
            <w:pPr>
              <w:spacing w:after="0" w:line="240" w:lineRule="auto"/>
              <w:rPr>
                <w:rFonts w:ascii="Times New Roman" w:eastAsia="Times New Roman" w:hAnsi="Times New Roman" w:cs="Times New Roman"/>
                <w:color w:val="000000"/>
                <w:kern w:val="0"/>
                <w:vertAlign w:val="superscript"/>
                <w14:ligatures w14:val="none"/>
              </w:rPr>
            </w:pPr>
            <w:r w:rsidRPr="00604900">
              <w:rPr>
                <w:rFonts w:ascii="Times New Roman" w:eastAsia="Times New Roman" w:hAnsi="Times New Roman" w:cs="Times New Roman"/>
                <w:color w:val="000000"/>
                <w:kern w:val="0"/>
                <w14:ligatures w14:val="none"/>
              </w:rPr>
              <w:t>Wish to Live</w:t>
            </w:r>
            <w:r>
              <w:rPr>
                <w:rFonts w:ascii="Times New Roman" w:eastAsia="Times New Roman" w:hAnsi="Times New Roman" w:cs="Times New Roman"/>
                <w:color w:val="000000"/>
                <w:kern w:val="0"/>
                <w:vertAlign w:val="superscript"/>
                <w14:ligatures w14:val="none"/>
              </w:rPr>
              <w:t>a</w:t>
            </w:r>
          </w:p>
        </w:tc>
        <w:tc>
          <w:tcPr>
            <w:tcW w:w="1365" w:type="dxa"/>
            <w:vAlign w:val="center"/>
            <w:hideMark/>
          </w:tcPr>
          <w:p w14:paraId="7E106605"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p>
        </w:tc>
        <w:tc>
          <w:tcPr>
            <w:tcW w:w="1365" w:type="dxa"/>
            <w:vAlign w:val="center"/>
            <w:hideMark/>
          </w:tcPr>
          <w:p w14:paraId="5626CAF2"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65" w:type="dxa"/>
            <w:vAlign w:val="center"/>
            <w:hideMark/>
          </w:tcPr>
          <w:p w14:paraId="29448CCB"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50" w:type="dxa"/>
            <w:vAlign w:val="center"/>
            <w:hideMark/>
          </w:tcPr>
          <w:p w14:paraId="45DA0A48"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r>
      <w:tr w:rsidR="0023277C" w:rsidRPr="00604900" w14:paraId="062A0580" w14:textId="77777777" w:rsidTr="00AF0B75">
        <w:trPr>
          <w:tblCellSpacing w:w="15" w:type="dxa"/>
        </w:trPr>
        <w:tc>
          <w:tcPr>
            <w:tcW w:w="3735" w:type="dxa"/>
            <w:vAlign w:val="center"/>
            <w:hideMark/>
          </w:tcPr>
          <w:p w14:paraId="3E4405A7"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Non-Responders</w:t>
            </w:r>
          </w:p>
        </w:tc>
        <w:tc>
          <w:tcPr>
            <w:tcW w:w="1365" w:type="dxa"/>
            <w:vAlign w:val="center"/>
            <w:hideMark/>
          </w:tcPr>
          <w:p w14:paraId="5299A478"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4.45</w:t>
            </w:r>
          </w:p>
        </w:tc>
        <w:tc>
          <w:tcPr>
            <w:tcW w:w="1365" w:type="dxa"/>
            <w:vAlign w:val="center"/>
            <w:hideMark/>
          </w:tcPr>
          <w:p w14:paraId="6B47706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4.53</w:t>
            </w:r>
          </w:p>
        </w:tc>
        <w:tc>
          <w:tcPr>
            <w:tcW w:w="1365" w:type="dxa"/>
            <w:vAlign w:val="center"/>
            <w:hideMark/>
          </w:tcPr>
          <w:p w14:paraId="2EAFECF8"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.036</w:t>
            </w:r>
          </w:p>
        </w:tc>
        <w:tc>
          <w:tcPr>
            <w:tcW w:w="1350" w:type="dxa"/>
            <w:vAlign w:val="center"/>
            <w:hideMark/>
          </w:tcPr>
          <w:p w14:paraId="2E22BFEF"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.059*</w:t>
            </w:r>
          </w:p>
        </w:tc>
      </w:tr>
      <w:tr w:rsidR="0023277C" w:rsidRPr="00604900" w14:paraId="1A84AD04" w14:textId="77777777" w:rsidTr="00AF0B75">
        <w:trPr>
          <w:tblCellSpacing w:w="15" w:type="dxa"/>
        </w:trPr>
        <w:tc>
          <w:tcPr>
            <w:tcW w:w="3735" w:type="dxa"/>
            <w:vAlign w:val="center"/>
            <w:hideMark/>
          </w:tcPr>
          <w:p w14:paraId="1521B287"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Partial Responders</w:t>
            </w:r>
          </w:p>
        </w:tc>
        <w:tc>
          <w:tcPr>
            <w:tcW w:w="1365" w:type="dxa"/>
            <w:vAlign w:val="center"/>
            <w:hideMark/>
          </w:tcPr>
          <w:p w14:paraId="48CAB345"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4.81</w:t>
            </w:r>
          </w:p>
        </w:tc>
        <w:tc>
          <w:tcPr>
            <w:tcW w:w="1365" w:type="dxa"/>
            <w:vAlign w:val="center"/>
            <w:hideMark/>
          </w:tcPr>
          <w:p w14:paraId="234C29D2"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3BED2944"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1454F697"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53153794" w14:textId="77777777" w:rsidTr="00AF0B75">
        <w:trPr>
          <w:tblCellSpacing w:w="15" w:type="dxa"/>
        </w:trPr>
        <w:tc>
          <w:tcPr>
            <w:tcW w:w="3735" w:type="dxa"/>
            <w:vAlign w:val="center"/>
            <w:hideMark/>
          </w:tcPr>
          <w:p w14:paraId="6EEE21BB"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Full Responders</w:t>
            </w:r>
          </w:p>
        </w:tc>
        <w:tc>
          <w:tcPr>
            <w:tcW w:w="1365" w:type="dxa"/>
            <w:vAlign w:val="center"/>
            <w:hideMark/>
          </w:tcPr>
          <w:p w14:paraId="4090F460"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5.79</w:t>
            </w:r>
          </w:p>
        </w:tc>
        <w:tc>
          <w:tcPr>
            <w:tcW w:w="1365" w:type="dxa"/>
            <w:vAlign w:val="center"/>
            <w:hideMark/>
          </w:tcPr>
          <w:p w14:paraId="13FBE0DE"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40EE5DE5"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1394EB57"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355C4F0F" w14:textId="77777777" w:rsidTr="00AF0B75">
        <w:trPr>
          <w:tblCellSpacing w:w="15" w:type="dxa"/>
        </w:trPr>
        <w:tc>
          <w:tcPr>
            <w:tcW w:w="3735" w:type="dxa"/>
            <w:tcBorders>
              <w:top w:val="single" w:sz="4" w:space="0" w:color="auto"/>
            </w:tcBorders>
            <w:vAlign w:val="center"/>
            <w:hideMark/>
          </w:tcPr>
          <w:p w14:paraId="700213D6" w14:textId="77777777" w:rsidR="0023277C" w:rsidRPr="00604900" w:rsidRDefault="0023277C" w:rsidP="00AF0B75">
            <w:pPr>
              <w:spacing w:after="0" w:line="240" w:lineRule="auto"/>
              <w:rPr>
                <w:rFonts w:ascii="Times New Roman" w:eastAsia="Times New Roman" w:hAnsi="Times New Roman" w:cs="Times New Roman"/>
                <w:color w:val="000000"/>
                <w:kern w:val="0"/>
                <w:vertAlign w:val="superscript"/>
                <w14:ligatures w14:val="none"/>
              </w:rPr>
            </w:pPr>
            <w:r w:rsidRPr="00604900">
              <w:rPr>
                <w:rFonts w:ascii="Times New Roman" w:eastAsia="Times New Roman" w:hAnsi="Times New Roman" w:cs="Times New Roman"/>
                <w:color w:val="000000"/>
                <w:kern w:val="0"/>
                <w14:ligatures w14:val="none"/>
              </w:rPr>
              <w:t>Wish to Die</w:t>
            </w:r>
            <w:r>
              <w:rPr>
                <w:rFonts w:ascii="Times New Roman" w:eastAsia="Times New Roman" w:hAnsi="Times New Roman" w:cs="Times New Roman"/>
                <w:color w:val="000000"/>
                <w:kern w:val="0"/>
                <w:vertAlign w:val="superscript"/>
                <w14:ligatures w14:val="none"/>
              </w:rPr>
              <w:t>a</w:t>
            </w:r>
          </w:p>
        </w:tc>
        <w:tc>
          <w:tcPr>
            <w:tcW w:w="1365" w:type="dxa"/>
            <w:tcBorders>
              <w:top w:val="single" w:sz="4" w:space="0" w:color="auto"/>
            </w:tcBorders>
            <w:vAlign w:val="center"/>
            <w:hideMark/>
          </w:tcPr>
          <w:p w14:paraId="1ABFE83D"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p>
        </w:tc>
        <w:tc>
          <w:tcPr>
            <w:tcW w:w="1365" w:type="dxa"/>
            <w:tcBorders>
              <w:top w:val="single" w:sz="4" w:space="0" w:color="auto"/>
            </w:tcBorders>
            <w:vAlign w:val="center"/>
            <w:hideMark/>
          </w:tcPr>
          <w:p w14:paraId="4F3D2A6D"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65" w:type="dxa"/>
            <w:tcBorders>
              <w:top w:val="single" w:sz="4" w:space="0" w:color="auto"/>
            </w:tcBorders>
            <w:vAlign w:val="center"/>
            <w:hideMark/>
          </w:tcPr>
          <w:p w14:paraId="78916F43"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50" w:type="dxa"/>
            <w:tcBorders>
              <w:top w:val="single" w:sz="4" w:space="0" w:color="auto"/>
            </w:tcBorders>
            <w:vAlign w:val="center"/>
            <w:hideMark/>
          </w:tcPr>
          <w:p w14:paraId="7E664B1B"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r>
      <w:tr w:rsidR="0023277C" w:rsidRPr="00604900" w14:paraId="7A1E96C8" w14:textId="77777777" w:rsidTr="00AF0B75">
        <w:trPr>
          <w:tblCellSpacing w:w="15" w:type="dxa"/>
        </w:trPr>
        <w:tc>
          <w:tcPr>
            <w:tcW w:w="3735" w:type="dxa"/>
            <w:vAlign w:val="center"/>
            <w:hideMark/>
          </w:tcPr>
          <w:p w14:paraId="3151BCDB"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Non-Responders</w:t>
            </w:r>
          </w:p>
        </w:tc>
        <w:tc>
          <w:tcPr>
            <w:tcW w:w="1365" w:type="dxa"/>
            <w:vAlign w:val="center"/>
            <w:hideMark/>
          </w:tcPr>
          <w:p w14:paraId="27C6DF33"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4.09</w:t>
            </w:r>
          </w:p>
        </w:tc>
        <w:tc>
          <w:tcPr>
            <w:tcW w:w="1365" w:type="dxa"/>
            <w:vAlign w:val="center"/>
            <w:hideMark/>
          </w:tcPr>
          <w:p w14:paraId="136D5F80"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9.33</w:t>
            </w:r>
          </w:p>
        </w:tc>
        <w:tc>
          <w:tcPr>
            <w:tcW w:w="1365" w:type="dxa"/>
            <w:vAlign w:val="center"/>
            <w:hideMark/>
          </w:tcPr>
          <w:p w14:paraId="65F57F4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.003</w:t>
            </w:r>
          </w:p>
        </w:tc>
        <w:tc>
          <w:tcPr>
            <w:tcW w:w="1350" w:type="dxa"/>
            <w:vAlign w:val="center"/>
            <w:hideMark/>
          </w:tcPr>
          <w:p w14:paraId="16208F1A"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.113**</w:t>
            </w:r>
          </w:p>
        </w:tc>
      </w:tr>
      <w:tr w:rsidR="0023277C" w:rsidRPr="00604900" w14:paraId="27ED1C7E" w14:textId="77777777" w:rsidTr="00AF0B75">
        <w:trPr>
          <w:tblCellSpacing w:w="15" w:type="dxa"/>
        </w:trPr>
        <w:tc>
          <w:tcPr>
            <w:tcW w:w="3735" w:type="dxa"/>
            <w:vAlign w:val="center"/>
            <w:hideMark/>
          </w:tcPr>
          <w:p w14:paraId="028B7BA8"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Partial Responders</w:t>
            </w:r>
          </w:p>
        </w:tc>
        <w:tc>
          <w:tcPr>
            <w:tcW w:w="1365" w:type="dxa"/>
            <w:vAlign w:val="center"/>
            <w:hideMark/>
          </w:tcPr>
          <w:p w14:paraId="3C139F64"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3.81</w:t>
            </w:r>
          </w:p>
        </w:tc>
        <w:tc>
          <w:tcPr>
            <w:tcW w:w="1365" w:type="dxa"/>
            <w:vAlign w:val="center"/>
            <w:hideMark/>
          </w:tcPr>
          <w:p w14:paraId="57D6A47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6070FBC4"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69777C6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51454048" w14:textId="77777777" w:rsidTr="00AF0B75">
        <w:trPr>
          <w:tblCellSpacing w:w="15" w:type="dxa"/>
        </w:trPr>
        <w:tc>
          <w:tcPr>
            <w:tcW w:w="3735" w:type="dxa"/>
            <w:vAlign w:val="center"/>
            <w:hideMark/>
          </w:tcPr>
          <w:p w14:paraId="4E6ADEC5"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Full Responders</w:t>
            </w:r>
          </w:p>
        </w:tc>
        <w:tc>
          <w:tcPr>
            <w:tcW w:w="1365" w:type="dxa"/>
            <w:vAlign w:val="center"/>
            <w:hideMark/>
          </w:tcPr>
          <w:p w14:paraId="74F112F7"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2.11</w:t>
            </w:r>
          </w:p>
        </w:tc>
        <w:tc>
          <w:tcPr>
            <w:tcW w:w="1365" w:type="dxa"/>
            <w:vAlign w:val="center"/>
            <w:hideMark/>
          </w:tcPr>
          <w:p w14:paraId="5F71810B"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207071D1"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14CB2B35"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790B0E66" w14:textId="77777777" w:rsidTr="00AF0B75">
        <w:trPr>
          <w:tblCellSpacing w:w="15" w:type="dxa"/>
        </w:trPr>
        <w:tc>
          <w:tcPr>
            <w:tcW w:w="3735" w:type="dxa"/>
            <w:tcBorders>
              <w:top w:val="single" w:sz="4" w:space="0" w:color="auto"/>
            </w:tcBorders>
            <w:vAlign w:val="center"/>
            <w:hideMark/>
          </w:tcPr>
          <w:p w14:paraId="68BFF48D" w14:textId="77777777" w:rsidR="0023277C" w:rsidRPr="00604900" w:rsidRDefault="0023277C" w:rsidP="00AF0B75">
            <w:pPr>
              <w:spacing w:after="0" w:line="240" w:lineRule="auto"/>
              <w:rPr>
                <w:rFonts w:ascii="Times New Roman" w:eastAsia="Times New Roman" w:hAnsi="Times New Roman" w:cs="Times New Roman"/>
                <w:color w:val="000000"/>
                <w:kern w:val="0"/>
                <w:vertAlign w:val="superscript"/>
                <w14:ligatures w14:val="none"/>
              </w:rPr>
            </w:pPr>
            <w:r w:rsidRPr="00604900">
              <w:rPr>
                <w:rFonts w:ascii="Times New Roman" w:eastAsia="Times New Roman" w:hAnsi="Times New Roman" w:cs="Times New Roman"/>
                <w:color w:val="000000"/>
                <w:kern w:val="0"/>
                <w14:ligatures w14:val="none"/>
              </w:rPr>
              <w:t>State Hopelessness</w:t>
            </w:r>
            <w:r>
              <w:rPr>
                <w:rFonts w:ascii="Times New Roman" w:eastAsia="Times New Roman" w:hAnsi="Times New Roman" w:cs="Times New Roman"/>
                <w:color w:val="000000"/>
                <w:kern w:val="0"/>
                <w:vertAlign w:val="superscript"/>
                <w14:ligatures w14:val="none"/>
              </w:rPr>
              <w:t>b</w:t>
            </w:r>
          </w:p>
        </w:tc>
        <w:tc>
          <w:tcPr>
            <w:tcW w:w="1365" w:type="dxa"/>
            <w:tcBorders>
              <w:top w:val="single" w:sz="4" w:space="0" w:color="auto"/>
            </w:tcBorders>
            <w:vAlign w:val="center"/>
            <w:hideMark/>
          </w:tcPr>
          <w:p w14:paraId="2715C2BB"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p>
        </w:tc>
        <w:tc>
          <w:tcPr>
            <w:tcW w:w="1365" w:type="dxa"/>
            <w:tcBorders>
              <w:top w:val="single" w:sz="4" w:space="0" w:color="auto"/>
            </w:tcBorders>
            <w:vAlign w:val="center"/>
            <w:hideMark/>
          </w:tcPr>
          <w:p w14:paraId="08DC3CEE"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65" w:type="dxa"/>
            <w:tcBorders>
              <w:top w:val="single" w:sz="4" w:space="0" w:color="auto"/>
            </w:tcBorders>
            <w:vAlign w:val="center"/>
            <w:hideMark/>
          </w:tcPr>
          <w:p w14:paraId="041A2465"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50" w:type="dxa"/>
            <w:tcBorders>
              <w:top w:val="single" w:sz="4" w:space="0" w:color="auto"/>
            </w:tcBorders>
            <w:vAlign w:val="center"/>
            <w:hideMark/>
          </w:tcPr>
          <w:p w14:paraId="79F2F76D"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r>
      <w:tr w:rsidR="0023277C" w:rsidRPr="00604900" w14:paraId="7E7E5198" w14:textId="77777777" w:rsidTr="00AF0B75">
        <w:trPr>
          <w:tblCellSpacing w:w="15" w:type="dxa"/>
        </w:trPr>
        <w:tc>
          <w:tcPr>
            <w:tcW w:w="3735" w:type="dxa"/>
            <w:vAlign w:val="center"/>
            <w:hideMark/>
          </w:tcPr>
          <w:p w14:paraId="38345E5C"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Non-Responders</w:t>
            </w:r>
          </w:p>
        </w:tc>
        <w:tc>
          <w:tcPr>
            <w:tcW w:w="1365" w:type="dxa"/>
            <w:vAlign w:val="center"/>
            <w:hideMark/>
          </w:tcPr>
          <w:p w14:paraId="4C14BA4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2.75</w:t>
            </w:r>
          </w:p>
        </w:tc>
        <w:tc>
          <w:tcPr>
            <w:tcW w:w="1365" w:type="dxa"/>
            <w:vAlign w:val="center"/>
            <w:hideMark/>
          </w:tcPr>
          <w:p w14:paraId="523AFAE0"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9.43</w:t>
            </w:r>
          </w:p>
        </w:tc>
        <w:tc>
          <w:tcPr>
            <w:tcW w:w="1365" w:type="dxa"/>
            <w:vAlign w:val="center"/>
            <w:hideMark/>
          </w:tcPr>
          <w:p w14:paraId="3BB74F59"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.003</w:t>
            </w:r>
          </w:p>
        </w:tc>
        <w:tc>
          <w:tcPr>
            <w:tcW w:w="1350" w:type="dxa"/>
            <w:vAlign w:val="center"/>
            <w:hideMark/>
          </w:tcPr>
          <w:p w14:paraId="026BD95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.104**</w:t>
            </w:r>
          </w:p>
        </w:tc>
      </w:tr>
      <w:tr w:rsidR="0023277C" w:rsidRPr="00604900" w14:paraId="7D2055FF" w14:textId="77777777" w:rsidTr="00AF0B75">
        <w:trPr>
          <w:tblCellSpacing w:w="15" w:type="dxa"/>
        </w:trPr>
        <w:tc>
          <w:tcPr>
            <w:tcW w:w="3735" w:type="dxa"/>
            <w:vAlign w:val="center"/>
            <w:hideMark/>
          </w:tcPr>
          <w:p w14:paraId="4F0D36BF"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Partial Responders</w:t>
            </w:r>
          </w:p>
        </w:tc>
        <w:tc>
          <w:tcPr>
            <w:tcW w:w="1365" w:type="dxa"/>
            <w:vAlign w:val="center"/>
            <w:hideMark/>
          </w:tcPr>
          <w:p w14:paraId="48FA17D3"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2.68</w:t>
            </w:r>
          </w:p>
        </w:tc>
        <w:tc>
          <w:tcPr>
            <w:tcW w:w="1365" w:type="dxa"/>
            <w:vAlign w:val="center"/>
            <w:hideMark/>
          </w:tcPr>
          <w:p w14:paraId="3D70DCB5"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2DCFEA8A"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1C65815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294DA7AD" w14:textId="77777777" w:rsidTr="00AF0B75">
        <w:trPr>
          <w:tblCellSpacing w:w="15" w:type="dxa"/>
        </w:trPr>
        <w:tc>
          <w:tcPr>
            <w:tcW w:w="3735" w:type="dxa"/>
            <w:vAlign w:val="center"/>
            <w:hideMark/>
          </w:tcPr>
          <w:p w14:paraId="5C9024F3"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Full Responders</w:t>
            </w:r>
          </w:p>
        </w:tc>
        <w:tc>
          <w:tcPr>
            <w:tcW w:w="1365" w:type="dxa"/>
            <w:vAlign w:val="center"/>
            <w:hideMark/>
          </w:tcPr>
          <w:p w14:paraId="20E66E2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2.25</w:t>
            </w:r>
          </w:p>
        </w:tc>
        <w:tc>
          <w:tcPr>
            <w:tcW w:w="1365" w:type="dxa"/>
            <w:vAlign w:val="center"/>
            <w:hideMark/>
          </w:tcPr>
          <w:p w14:paraId="431C628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32FD7E49"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41E27FCD"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498A20F2" w14:textId="77777777" w:rsidTr="00AF0B75">
        <w:trPr>
          <w:tblCellSpacing w:w="15" w:type="dxa"/>
        </w:trPr>
        <w:tc>
          <w:tcPr>
            <w:tcW w:w="3735" w:type="dxa"/>
            <w:tcBorders>
              <w:top w:val="single" w:sz="4" w:space="0" w:color="auto"/>
            </w:tcBorders>
            <w:vAlign w:val="center"/>
            <w:hideMark/>
          </w:tcPr>
          <w:p w14:paraId="23266746" w14:textId="77777777" w:rsidR="0023277C" w:rsidRPr="00604900" w:rsidRDefault="0023277C" w:rsidP="00AF0B75">
            <w:pPr>
              <w:spacing w:after="0" w:line="240" w:lineRule="auto"/>
              <w:rPr>
                <w:rFonts w:ascii="Times New Roman" w:eastAsia="Times New Roman" w:hAnsi="Times New Roman" w:cs="Times New Roman"/>
                <w:color w:val="000000"/>
                <w:kern w:val="0"/>
                <w:vertAlign w:val="superscript"/>
                <w14:ligatures w14:val="none"/>
              </w:rPr>
            </w:pPr>
            <w:r w:rsidRPr="00604900">
              <w:rPr>
                <w:rFonts w:ascii="Times New Roman" w:eastAsia="Times New Roman" w:hAnsi="Times New Roman" w:cs="Times New Roman"/>
                <w:color w:val="000000"/>
                <w:kern w:val="0"/>
                <w14:ligatures w14:val="none"/>
              </w:rPr>
              <w:t>Trait Hopelessness</w:t>
            </w:r>
            <w:r>
              <w:rPr>
                <w:rFonts w:ascii="Times New Roman" w:eastAsia="Times New Roman" w:hAnsi="Times New Roman" w:cs="Times New Roman"/>
                <w:color w:val="000000"/>
                <w:kern w:val="0"/>
                <w:vertAlign w:val="superscript"/>
                <w14:ligatures w14:val="none"/>
              </w:rPr>
              <w:t>b</w:t>
            </w:r>
          </w:p>
        </w:tc>
        <w:tc>
          <w:tcPr>
            <w:tcW w:w="1365" w:type="dxa"/>
            <w:tcBorders>
              <w:top w:val="single" w:sz="4" w:space="0" w:color="auto"/>
            </w:tcBorders>
            <w:vAlign w:val="center"/>
            <w:hideMark/>
          </w:tcPr>
          <w:p w14:paraId="1354B097"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p>
        </w:tc>
        <w:tc>
          <w:tcPr>
            <w:tcW w:w="1365" w:type="dxa"/>
            <w:tcBorders>
              <w:top w:val="single" w:sz="4" w:space="0" w:color="auto"/>
            </w:tcBorders>
            <w:vAlign w:val="center"/>
            <w:hideMark/>
          </w:tcPr>
          <w:p w14:paraId="33074143"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65" w:type="dxa"/>
            <w:tcBorders>
              <w:top w:val="single" w:sz="4" w:space="0" w:color="auto"/>
            </w:tcBorders>
            <w:vAlign w:val="center"/>
            <w:hideMark/>
          </w:tcPr>
          <w:p w14:paraId="385F67DB"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50" w:type="dxa"/>
            <w:tcBorders>
              <w:top w:val="single" w:sz="4" w:space="0" w:color="auto"/>
            </w:tcBorders>
            <w:vAlign w:val="center"/>
            <w:hideMark/>
          </w:tcPr>
          <w:p w14:paraId="3F1FFF18"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r>
      <w:tr w:rsidR="0023277C" w:rsidRPr="00604900" w14:paraId="47706AB0" w14:textId="77777777" w:rsidTr="00AF0B75">
        <w:trPr>
          <w:tblCellSpacing w:w="15" w:type="dxa"/>
        </w:trPr>
        <w:tc>
          <w:tcPr>
            <w:tcW w:w="3735" w:type="dxa"/>
            <w:vAlign w:val="center"/>
            <w:hideMark/>
          </w:tcPr>
          <w:p w14:paraId="531ECCF6"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Non-Responders</w:t>
            </w:r>
          </w:p>
        </w:tc>
        <w:tc>
          <w:tcPr>
            <w:tcW w:w="1365" w:type="dxa"/>
            <w:vAlign w:val="center"/>
            <w:hideMark/>
          </w:tcPr>
          <w:p w14:paraId="5FA9EC88"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2.75</w:t>
            </w:r>
          </w:p>
        </w:tc>
        <w:tc>
          <w:tcPr>
            <w:tcW w:w="1365" w:type="dxa"/>
            <w:vAlign w:val="center"/>
            <w:hideMark/>
          </w:tcPr>
          <w:p w14:paraId="14E3FE37"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12.91</w:t>
            </w:r>
          </w:p>
        </w:tc>
        <w:tc>
          <w:tcPr>
            <w:tcW w:w="1365" w:type="dxa"/>
            <w:vAlign w:val="center"/>
            <w:hideMark/>
          </w:tcPr>
          <w:p w14:paraId="099C5189"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.001</w:t>
            </w:r>
          </w:p>
        </w:tc>
        <w:tc>
          <w:tcPr>
            <w:tcW w:w="1350" w:type="dxa"/>
            <w:vAlign w:val="center"/>
            <w:hideMark/>
          </w:tcPr>
          <w:p w14:paraId="4CF0A82B"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.137**</w:t>
            </w:r>
          </w:p>
        </w:tc>
      </w:tr>
      <w:tr w:rsidR="0023277C" w:rsidRPr="00604900" w14:paraId="5909BEA6" w14:textId="77777777" w:rsidTr="00AF0B75">
        <w:trPr>
          <w:tblCellSpacing w:w="15" w:type="dxa"/>
        </w:trPr>
        <w:tc>
          <w:tcPr>
            <w:tcW w:w="3735" w:type="dxa"/>
            <w:vAlign w:val="center"/>
            <w:hideMark/>
          </w:tcPr>
          <w:p w14:paraId="3EB9BF73"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Partial Responders</w:t>
            </w:r>
          </w:p>
        </w:tc>
        <w:tc>
          <w:tcPr>
            <w:tcW w:w="1365" w:type="dxa"/>
            <w:vAlign w:val="center"/>
            <w:hideMark/>
          </w:tcPr>
          <w:p w14:paraId="76F26CA0"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2.69</w:t>
            </w:r>
          </w:p>
        </w:tc>
        <w:tc>
          <w:tcPr>
            <w:tcW w:w="1365" w:type="dxa"/>
            <w:vAlign w:val="center"/>
            <w:hideMark/>
          </w:tcPr>
          <w:p w14:paraId="4D3E2BC3"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6521B86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59ACE63E"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5E4D1CA8" w14:textId="77777777" w:rsidTr="00AF0B75">
        <w:trPr>
          <w:tblCellSpacing w:w="15" w:type="dxa"/>
        </w:trPr>
        <w:tc>
          <w:tcPr>
            <w:tcW w:w="3735" w:type="dxa"/>
            <w:vAlign w:val="center"/>
            <w:hideMark/>
          </w:tcPr>
          <w:p w14:paraId="65E3D63F"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Full Responders</w:t>
            </w:r>
          </w:p>
        </w:tc>
        <w:tc>
          <w:tcPr>
            <w:tcW w:w="1365" w:type="dxa"/>
            <w:vAlign w:val="center"/>
            <w:hideMark/>
          </w:tcPr>
          <w:p w14:paraId="709F16F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2.28</w:t>
            </w:r>
          </w:p>
        </w:tc>
        <w:tc>
          <w:tcPr>
            <w:tcW w:w="1365" w:type="dxa"/>
            <w:vAlign w:val="center"/>
            <w:hideMark/>
          </w:tcPr>
          <w:p w14:paraId="2240C0A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292C5024"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240B3DC3"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3FB27C4B" w14:textId="77777777" w:rsidTr="00AF0B75">
        <w:trPr>
          <w:tblCellSpacing w:w="15" w:type="dxa"/>
        </w:trPr>
        <w:tc>
          <w:tcPr>
            <w:tcW w:w="3735" w:type="dxa"/>
            <w:tcBorders>
              <w:top w:val="single" w:sz="4" w:space="0" w:color="auto"/>
            </w:tcBorders>
            <w:vAlign w:val="center"/>
            <w:hideMark/>
          </w:tcPr>
          <w:p w14:paraId="4F51496C" w14:textId="77777777" w:rsidR="0023277C" w:rsidRPr="00604900" w:rsidRDefault="0023277C" w:rsidP="00AF0B75">
            <w:pPr>
              <w:spacing w:after="0" w:line="240" w:lineRule="auto"/>
              <w:rPr>
                <w:rFonts w:ascii="Times New Roman" w:eastAsia="Times New Roman" w:hAnsi="Times New Roman" w:cs="Times New Roman"/>
                <w:color w:val="000000"/>
                <w:kern w:val="0"/>
                <w:vertAlign w:val="superscript"/>
                <w14:ligatures w14:val="none"/>
              </w:rPr>
            </w:pPr>
            <w:r w:rsidRPr="00604900">
              <w:rPr>
                <w:rFonts w:ascii="Times New Roman" w:eastAsia="Times New Roman" w:hAnsi="Times New Roman" w:cs="Times New Roman"/>
                <w:color w:val="000000"/>
                <w:kern w:val="0"/>
                <w14:ligatures w14:val="none"/>
              </w:rPr>
              <w:t>Impulsivity</w:t>
            </w:r>
            <w:r>
              <w:rPr>
                <w:rFonts w:ascii="Times New Roman" w:eastAsia="Times New Roman" w:hAnsi="Times New Roman" w:cs="Times New Roman"/>
                <w:color w:val="000000"/>
                <w:kern w:val="0"/>
                <w:vertAlign w:val="superscript"/>
                <w14:ligatures w14:val="none"/>
              </w:rPr>
              <w:t>c</w:t>
            </w:r>
          </w:p>
        </w:tc>
        <w:tc>
          <w:tcPr>
            <w:tcW w:w="1365" w:type="dxa"/>
            <w:tcBorders>
              <w:top w:val="single" w:sz="4" w:space="0" w:color="auto"/>
            </w:tcBorders>
            <w:vAlign w:val="center"/>
            <w:hideMark/>
          </w:tcPr>
          <w:p w14:paraId="7C7A9FC1"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p>
        </w:tc>
        <w:tc>
          <w:tcPr>
            <w:tcW w:w="1365" w:type="dxa"/>
            <w:tcBorders>
              <w:top w:val="single" w:sz="4" w:space="0" w:color="auto"/>
            </w:tcBorders>
            <w:vAlign w:val="center"/>
            <w:hideMark/>
          </w:tcPr>
          <w:p w14:paraId="074FA20F"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65" w:type="dxa"/>
            <w:tcBorders>
              <w:top w:val="single" w:sz="4" w:space="0" w:color="auto"/>
            </w:tcBorders>
            <w:vAlign w:val="center"/>
            <w:hideMark/>
          </w:tcPr>
          <w:p w14:paraId="1508BEFE"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c>
          <w:tcPr>
            <w:tcW w:w="1350" w:type="dxa"/>
            <w:tcBorders>
              <w:top w:val="single" w:sz="4" w:space="0" w:color="auto"/>
            </w:tcBorders>
            <w:vAlign w:val="center"/>
            <w:hideMark/>
          </w:tcPr>
          <w:p w14:paraId="0B93C9D4" w14:textId="77777777" w:rsidR="0023277C" w:rsidRPr="00604900" w:rsidRDefault="0023277C" w:rsidP="00AF0B75">
            <w:pPr>
              <w:spacing w:after="0" w:line="240" w:lineRule="auto"/>
              <w:jc w:val="center"/>
              <w:rPr>
                <w:rFonts w:ascii="Times New Roman" w:eastAsia="Times New Roman" w:hAnsi="Times New Roman" w:cs="Times New Roman"/>
                <w:kern w:val="0"/>
                <w14:ligatures w14:val="none"/>
              </w:rPr>
            </w:pPr>
          </w:p>
        </w:tc>
      </w:tr>
      <w:tr w:rsidR="0023277C" w:rsidRPr="00604900" w14:paraId="5361A714" w14:textId="77777777" w:rsidTr="00AF0B75">
        <w:trPr>
          <w:tblCellSpacing w:w="15" w:type="dxa"/>
        </w:trPr>
        <w:tc>
          <w:tcPr>
            <w:tcW w:w="3735" w:type="dxa"/>
            <w:vAlign w:val="center"/>
            <w:hideMark/>
          </w:tcPr>
          <w:p w14:paraId="3D571E84"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Non-Responders</w:t>
            </w:r>
          </w:p>
        </w:tc>
        <w:tc>
          <w:tcPr>
            <w:tcW w:w="1365" w:type="dxa"/>
            <w:vAlign w:val="center"/>
            <w:hideMark/>
          </w:tcPr>
          <w:p w14:paraId="523A7C8D"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17.61</w:t>
            </w:r>
          </w:p>
        </w:tc>
        <w:tc>
          <w:tcPr>
            <w:tcW w:w="1365" w:type="dxa"/>
            <w:vAlign w:val="center"/>
            <w:hideMark/>
          </w:tcPr>
          <w:p w14:paraId="28C91BD2"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6.77</w:t>
            </w:r>
          </w:p>
        </w:tc>
        <w:tc>
          <w:tcPr>
            <w:tcW w:w="1365" w:type="dxa"/>
            <w:vAlign w:val="center"/>
            <w:hideMark/>
          </w:tcPr>
          <w:p w14:paraId="463CFEA9"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.011</w:t>
            </w:r>
          </w:p>
        </w:tc>
        <w:tc>
          <w:tcPr>
            <w:tcW w:w="1350" w:type="dxa"/>
            <w:vAlign w:val="center"/>
            <w:hideMark/>
          </w:tcPr>
          <w:p w14:paraId="2D027C27"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.078**</w:t>
            </w:r>
          </w:p>
        </w:tc>
      </w:tr>
      <w:tr w:rsidR="0023277C" w:rsidRPr="00604900" w14:paraId="6AFC872D" w14:textId="77777777" w:rsidTr="00AF0B75">
        <w:trPr>
          <w:tblCellSpacing w:w="15" w:type="dxa"/>
        </w:trPr>
        <w:tc>
          <w:tcPr>
            <w:tcW w:w="3735" w:type="dxa"/>
            <w:vAlign w:val="center"/>
            <w:hideMark/>
          </w:tcPr>
          <w:p w14:paraId="64538BF8"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Partial Responders</w:t>
            </w:r>
          </w:p>
        </w:tc>
        <w:tc>
          <w:tcPr>
            <w:tcW w:w="1365" w:type="dxa"/>
            <w:vAlign w:val="center"/>
            <w:hideMark/>
          </w:tcPr>
          <w:p w14:paraId="742DA3E6"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17.22</w:t>
            </w:r>
          </w:p>
        </w:tc>
        <w:tc>
          <w:tcPr>
            <w:tcW w:w="1365" w:type="dxa"/>
            <w:vAlign w:val="center"/>
            <w:hideMark/>
          </w:tcPr>
          <w:p w14:paraId="15F5A398"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vAlign w:val="center"/>
            <w:hideMark/>
          </w:tcPr>
          <w:p w14:paraId="0B91CD6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vAlign w:val="center"/>
            <w:hideMark/>
          </w:tcPr>
          <w:p w14:paraId="73825B7C"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r w:rsidR="0023277C" w:rsidRPr="00604900" w14:paraId="0013410C" w14:textId="77777777" w:rsidTr="00AF0B75">
        <w:trPr>
          <w:tblCellSpacing w:w="15" w:type="dxa"/>
        </w:trPr>
        <w:tc>
          <w:tcPr>
            <w:tcW w:w="3735" w:type="dxa"/>
            <w:tcBorders>
              <w:bottom w:val="single" w:sz="4" w:space="0" w:color="auto"/>
            </w:tcBorders>
            <w:vAlign w:val="center"/>
            <w:hideMark/>
          </w:tcPr>
          <w:p w14:paraId="74DAAF2C" w14:textId="77777777" w:rsidR="0023277C" w:rsidRPr="00604900" w:rsidRDefault="0023277C" w:rsidP="00AF0B75">
            <w:pPr>
              <w:spacing w:after="0" w:line="240" w:lineRule="auto"/>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Treatment Full Responders</w:t>
            </w:r>
          </w:p>
        </w:tc>
        <w:tc>
          <w:tcPr>
            <w:tcW w:w="1365" w:type="dxa"/>
            <w:tcBorders>
              <w:bottom w:val="single" w:sz="4" w:space="0" w:color="auto"/>
            </w:tcBorders>
            <w:vAlign w:val="center"/>
            <w:hideMark/>
          </w:tcPr>
          <w:p w14:paraId="047F257F"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13.18</w:t>
            </w:r>
          </w:p>
        </w:tc>
        <w:tc>
          <w:tcPr>
            <w:tcW w:w="1365" w:type="dxa"/>
            <w:tcBorders>
              <w:bottom w:val="single" w:sz="4" w:space="0" w:color="auto"/>
            </w:tcBorders>
            <w:vAlign w:val="center"/>
            <w:hideMark/>
          </w:tcPr>
          <w:p w14:paraId="1CCE2C04"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65" w:type="dxa"/>
            <w:tcBorders>
              <w:bottom w:val="single" w:sz="4" w:space="0" w:color="auto"/>
            </w:tcBorders>
            <w:vAlign w:val="center"/>
            <w:hideMark/>
          </w:tcPr>
          <w:p w14:paraId="2C7B55BE"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c>
          <w:tcPr>
            <w:tcW w:w="1350" w:type="dxa"/>
            <w:tcBorders>
              <w:bottom w:val="single" w:sz="4" w:space="0" w:color="auto"/>
            </w:tcBorders>
            <w:vAlign w:val="center"/>
            <w:hideMark/>
          </w:tcPr>
          <w:p w14:paraId="12952E05" w14:textId="77777777" w:rsidR="0023277C" w:rsidRPr="00604900" w:rsidRDefault="0023277C" w:rsidP="00AF0B75">
            <w:pPr>
              <w:spacing w:after="0" w:line="240" w:lineRule="auto"/>
              <w:jc w:val="center"/>
              <w:rPr>
                <w:rFonts w:ascii="Times New Roman" w:eastAsia="Times New Roman" w:hAnsi="Times New Roman" w:cs="Times New Roman"/>
                <w:color w:val="000000"/>
                <w:kern w:val="0"/>
                <w14:ligatures w14:val="none"/>
              </w:rPr>
            </w:pPr>
            <w:r w:rsidRPr="00604900">
              <w:rPr>
                <w:rFonts w:ascii="Times New Roman" w:eastAsia="Times New Roman" w:hAnsi="Times New Roman" w:cs="Times New Roman"/>
                <w:color w:val="000000"/>
                <w:kern w:val="0"/>
                <w14:ligatures w14:val="none"/>
              </w:rPr>
              <w:t>—</w:t>
            </w:r>
          </w:p>
        </w:tc>
      </w:tr>
    </w:tbl>
    <w:p w14:paraId="7DB32AEB" w14:textId="77777777" w:rsidR="0023277C" w:rsidRDefault="0023277C" w:rsidP="0023277C">
      <w:pPr>
        <w:contextualSpacing/>
        <w:rPr>
          <w:rFonts w:ascii="Times New Roman" w:hAnsi="Times New Roman" w:cs="Times New Roman"/>
          <w:i/>
          <w:iCs/>
          <w:sz w:val="20"/>
          <w:szCs w:val="20"/>
        </w:rPr>
      </w:pPr>
      <w:r>
        <w:rPr>
          <w:rFonts w:ascii="Times New Roman" w:hAnsi="Times New Roman" w:cs="Times New Roman"/>
          <w:i/>
          <w:iCs/>
          <w:sz w:val="20"/>
          <w:szCs w:val="20"/>
          <w:vertAlign w:val="superscript"/>
        </w:rPr>
        <w:t>a</w:t>
      </w:r>
      <w:r>
        <w:rPr>
          <w:rFonts w:ascii="Times New Roman" w:hAnsi="Times New Roman" w:cs="Times New Roman"/>
          <w:i/>
          <w:iCs/>
          <w:sz w:val="20"/>
          <w:szCs w:val="20"/>
        </w:rPr>
        <w:t>As measured by a 5-point Likert self-rating of wish to die (detailed in Supplement 1)</w:t>
      </w:r>
    </w:p>
    <w:p w14:paraId="5D82771A" w14:textId="77777777" w:rsidR="0023277C" w:rsidRDefault="0023277C" w:rsidP="0023277C">
      <w:pPr>
        <w:contextualSpacing/>
        <w:rPr>
          <w:rFonts w:ascii="Times New Roman" w:hAnsi="Times New Roman" w:cs="Times New Roman"/>
          <w:i/>
          <w:iCs/>
          <w:sz w:val="20"/>
          <w:szCs w:val="20"/>
        </w:rPr>
      </w:pPr>
      <w:r>
        <w:rPr>
          <w:rFonts w:ascii="Times New Roman" w:hAnsi="Times New Roman" w:cs="Times New Roman"/>
          <w:i/>
          <w:iCs/>
          <w:sz w:val="20"/>
          <w:szCs w:val="20"/>
          <w:vertAlign w:val="superscript"/>
        </w:rPr>
        <w:t>b</w:t>
      </w:r>
      <w:r>
        <w:rPr>
          <w:rFonts w:ascii="Times New Roman" w:hAnsi="Times New Roman" w:cs="Times New Roman"/>
          <w:i/>
          <w:iCs/>
          <w:sz w:val="20"/>
          <w:szCs w:val="20"/>
        </w:rPr>
        <w:t>As measured by the Trait-State Hopelessness Scale (detailed in Supplement 1)</w:t>
      </w:r>
    </w:p>
    <w:p w14:paraId="711FFFFA" w14:textId="77777777" w:rsidR="0023277C" w:rsidRDefault="0023277C" w:rsidP="0023277C">
      <w:pPr>
        <w:contextualSpacing/>
        <w:rPr>
          <w:rFonts w:ascii="Times New Roman" w:hAnsi="Times New Roman" w:cs="Times New Roman"/>
          <w:i/>
          <w:iCs/>
          <w:sz w:val="20"/>
          <w:szCs w:val="20"/>
        </w:rPr>
      </w:pPr>
      <w:r>
        <w:rPr>
          <w:rFonts w:ascii="Times New Roman" w:hAnsi="Times New Roman" w:cs="Times New Roman"/>
          <w:i/>
          <w:iCs/>
          <w:sz w:val="20"/>
          <w:szCs w:val="20"/>
          <w:vertAlign w:val="superscript"/>
        </w:rPr>
        <w:t>c</w:t>
      </w:r>
      <w:r>
        <w:rPr>
          <w:rFonts w:ascii="Times New Roman" w:hAnsi="Times New Roman" w:cs="Times New Roman"/>
          <w:i/>
          <w:iCs/>
          <w:sz w:val="20"/>
          <w:szCs w:val="20"/>
        </w:rPr>
        <w:t>As measured by the Difficulty in Emotion Regulation Scale (DERS), impulsivity subscale (detailed in Supplement 1)</w:t>
      </w:r>
    </w:p>
    <w:p w14:paraId="73AC0A5C" w14:textId="77777777" w:rsidR="0023277C" w:rsidRDefault="0023277C" w:rsidP="0023277C">
      <w:pPr>
        <w:contextualSpacing/>
        <w:rPr>
          <w:rFonts w:ascii="Times New Roman" w:hAnsi="Times New Roman" w:cs="Times New Roman"/>
          <w:i/>
          <w:iCs/>
          <w:sz w:val="20"/>
          <w:szCs w:val="20"/>
        </w:rPr>
      </w:pPr>
      <w:r>
        <w:rPr>
          <w:rFonts w:ascii="Times New Roman" w:hAnsi="Times New Roman" w:cs="Times New Roman"/>
          <w:i/>
          <w:iCs/>
          <w:sz w:val="20"/>
          <w:szCs w:val="20"/>
        </w:rPr>
        <w:t>*Small effect: n</w:t>
      </w:r>
      <w:r>
        <w:rPr>
          <w:rFonts w:ascii="Times New Roman" w:hAnsi="Times New Roman" w:cs="Times New Roman"/>
          <w:i/>
          <w:iCs/>
          <w:sz w:val="20"/>
          <w:szCs w:val="20"/>
          <w:vertAlign w:val="superscript"/>
        </w:rPr>
        <w:t>2</w:t>
      </w:r>
      <w:r>
        <w:rPr>
          <w:rFonts w:ascii="Times New Roman" w:hAnsi="Times New Roman" w:cs="Times New Roman"/>
          <w:i/>
          <w:iCs/>
          <w:sz w:val="20"/>
          <w:szCs w:val="20"/>
        </w:rPr>
        <w:t>=.01</w:t>
      </w:r>
    </w:p>
    <w:p w14:paraId="2A1664E2" w14:textId="77777777" w:rsidR="0023277C" w:rsidRDefault="0023277C" w:rsidP="0023277C">
      <w:pPr>
        <w:contextualSpacing/>
        <w:rPr>
          <w:rFonts w:ascii="Times New Roman" w:hAnsi="Times New Roman" w:cs="Times New Roman"/>
          <w:i/>
          <w:iCs/>
          <w:sz w:val="20"/>
          <w:szCs w:val="20"/>
        </w:rPr>
      </w:pPr>
      <w:r>
        <w:rPr>
          <w:rFonts w:ascii="Times New Roman" w:hAnsi="Times New Roman" w:cs="Times New Roman"/>
          <w:i/>
          <w:iCs/>
          <w:sz w:val="20"/>
          <w:szCs w:val="20"/>
        </w:rPr>
        <w:t>**Medium effect: n</w:t>
      </w:r>
      <w:r>
        <w:rPr>
          <w:rFonts w:ascii="Times New Roman" w:hAnsi="Times New Roman" w:cs="Times New Roman"/>
          <w:i/>
          <w:iCs/>
          <w:sz w:val="20"/>
          <w:szCs w:val="20"/>
          <w:vertAlign w:val="superscript"/>
        </w:rPr>
        <w:t>2</w:t>
      </w:r>
      <w:r>
        <w:rPr>
          <w:rFonts w:ascii="Times New Roman" w:hAnsi="Times New Roman" w:cs="Times New Roman"/>
          <w:i/>
          <w:iCs/>
          <w:sz w:val="20"/>
          <w:szCs w:val="20"/>
        </w:rPr>
        <w:t>=.06</w:t>
      </w:r>
    </w:p>
    <w:p w14:paraId="3828F683" w14:textId="77777777" w:rsidR="0023277C" w:rsidRDefault="0023277C" w:rsidP="0023277C">
      <w:pPr>
        <w:contextualSpacing/>
        <w:rPr>
          <w:rFonts w:ascii="Times New Roman" w:hAnsi="Times New Roman" w:cs="Times New Roman"/>
          <w:i/>
          <w:iCs/>
          <w:sz w:val="20"/>
          <w:szCs w:val="20"/>
        </w:rPr>
      </w:pPr>
      <w:r>
        <w:rPr>
          <w:rFonts w:ascii="Times New Roman" w:hAnsi="Times New Roman" w:cs="Times New Roman"/>
          <w:i/>
          <w:iCs/>
          <w:sz w:val="20"/>
          <w:szCs w:val="20"/>
        </w:rPr>
        <w:t>***Large effect: n</w:t>
      </w:r>
      <w:r>
        <w:rPr>
          <w:rFonts w:ascii="Times New Roman" w:hAnsi="Times New Roman" w:cs="Times New Roman"/>
          <w:i/>
          <w:iCs/>
          <w:sz w:val="20"/>
          <w:szCs w:val="20"/>
          <w:vertAlign w:val="superscript"/>
        </w:rPr>
        <w:t>2</w:t>
      </w:r>
      <w:r>
        <w:rPr>
          <w:rFonts w:ascii="Times New Roman" w:hAnsi="Times New Roman" w:cs="Times New Roman"/>
          <w:i/>
          <w:iCs/>
          <w:sz w:val="20"/>
          <w:szCs w:val="20"/>
        </w:rPr>
        <w:t>=.14</w:t>
      </w:r>
    </w:p>
    <w:p w14:paraId="0C72E901" w14:textId="77777777" w:rsidR="00346D78" w:rsidRDefault="00346D78" w:rsidP="00346D78">
      <w:pPr>
        <w:contextualSpacing/>
        <w:rPr>
          <w:rFonts w:ascii="Times New Roman" w:hAnsi="Times New Roman" w:cs="Times New Roman"/>
          <w:i/>
          <w:iCs/>
          <w:sz w:val="20"/>
          <w:szCs w:val="20"/>
        </w:rPr>
      </w:pPr>
    </w:p>
    <w:p w14:paraId="4D0F2F4F" w14:textId="77777777" w:rsidR="00346D78" w:rsidRDefault="00346D78" w:rsidP="00346D78">
      <w:pPr>
        <w:contextualSpacing/>
        <w:rPr>
          <w:rFonts w:ascii="Times New Roman" w:hAnsi="Times New Roman" w:cs="Times New Roman"/>
          <w:i/>
          <w:iCs/>
          <w:sz w:val="20"/>
          <w:szCs w:val="20"/>
        </w:rPr>
      </w:pPr>
    </w:p>
    <w:p w14:paraId="5A96DA51" w14:textId="77777777" w:rsidR="00346D78" w:rsidRDefault="00346D78" w:rsidP="00346D78">
      <w:pPr>
        <w:contextualSpacing/>
        <w:rPr>
          <w:rFonts w:ascii="Times New Roman" w:hAnsi="Times New Roman" w:cs="Times New Roman"/>
          <w:i/>
          <w:iCs/>
          <w:sz w:val="20"/>
          <w:szCs w:val="20"/>
        </w:rPr>
      </w:pPr>
    </w:p>
    <w:p w14:paraId="68422F7D" w14:textId="77777777" w:rsidR="00346D78" w:rsidRDefault="00346D78" w:rsidP="00346D78">
      <w:pPr>
        <w:contextualSpacing/>
        <w:rPr>
          <w:rFonts w:ascii="Times New Roman" w:hAnsi="Times New Roman" w:cs="Times New Roman"/>
          <w:i/>
          <w:iCs/>
          <w:sz w:val="20"/>
          <w:szCs w:val="20"/>
        </w:rPr>
      </w:pPr>
    </w:p>
    <w:p w14:paraId="4E24B4FD" w14:textId="35E6A4BF" w:rsidR="00AC2061" w:rsidRDefault="00AC2061">
      <w:pPr>
        <w:rPr>
          <w:rFonts w:ascii="Times New Roman" w:hAnsi="Times New Roman" w:cs="Times New Roman"/>
          <w:i/>
          <w:iCs/>
          <w:sz w:val="20"/>
          <w:szCs w:val="20"/>
        </w:rPr>
      </w:pPr>
      <w:r>
        <w:rPr>
          <w:rFonts w:ascii="Times New Roman" w:hAnsi="Times New Roman" w:cs="Times New Roman"/>
          <w:i/>
          <w:iCs/>
          <w:sz w:val="20"/>
          <w:szCs w:val="20"/>
        </w:rPr>
        <w:br w:type="page"/>
      </w:r>
    </w:p>
    <w:p w14:paraId="7B74C7FF" w14:textId="415B94DD" w:rsidR="00AC2061" w:rsidRDefault="00AC2061" w:rsidP="00AC2061">
      <w:pPr>
        <w:spacing w:line="480" w:lineRule="auto"/>
        <w:rPr>
          <w:rFonts w:ascii="Arial" w:hAnsi="Arial" w:cs="Arial"/>
        </w:rPr>
      </w:pPr>
      <w:r>
        <w:rPr>
          <w:rFonts w:ascii="Arial" w:hAnsi="Arial" w:cs="Arial"/>
        </w:rPr>
        <w:lastRenderedPageBreak/>
        <w:t>Figure 1. Hazard Functions for BCBT-I vs. Treatment as Usual with Time to Attempts (in Days)</w:t>
      </w:r>
    </w:p>
    <w:p w14:paraId="4A29752D" w14:textId="77777777" w:rsidR="00AC2061" w:rsidRDefault="00AC2061" w:rsidP="00AC2061">
      <w:pPr>
        <w:spacing w:line="480" w:lineRule="auto"/>
        <w:rPr>
          <w:rFonts w:ascii="Arial" w:hAnsi="Arial" w:cs="Arial"/>
        </w:rPr>
      </w:pPr>
    </w:p>
    <w:p w14:paraId="33811CC9" w14:textId="77777777" w:rsidR="00AC2061" w:rsidRDefault="00AC2061" w:rsidP="00AC2061">
      <w:pPr>
        <w:spacing w:line="480" w:lineRule="auto"/>
        <w:rPr>
          <w:rFonts w:ascii="Arial" w:hAnsi="Arial" w:cs="Arial"/>
        </w:rPr>
      </w:pPr>
      <w:r>
        <w:rPr>
          <w:rFonts w:eastAsia="Times New Roman"/>
          <w:noProof/>
          <w:color w:val="000000"/>
        </w:rPr>
        <w:drawing>
          <wp:inline distT="0" distB="0" distL="0" distR="0" wp14:anchorId="6B5F79A4" wp14:editId="48CA7EE4">
            <wp:extent cx="5943600" cy="3504565"/>
            <wp:effectExtent l="0" t="0" r="0" b="635"/>
            <wp:docPr id="2031200091" name="Picture 13"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52007" name="Picture 13" descr="A graph with a line&#10;&#10;Description automatically generated"/>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943600" cy="3504565"/>
                    </a:xfrm>
                    <a:prstGeom prst="rect">
                      <a:avLst/>
                    </a:prstGeom>
                    <a:noFill/>
                    <a:ln>
                      <a:noFill/>
                    </a:ln>
                  </pic:spPr>
                </pic:pic>
              </a:graphicData>
            </a:graphic>
          </wp:inline>
        </w:drawing>
      </w:r>
    </w:p>
    <w:p w14:paraId="7B3A11E6" w14:textId="77777777" w:rsidR="00AC2061" w:rsidRDefault="00AC2061" w:rsidP="00AC2061">
      <w:pPr>
        <w:spacing w:line="480" w:lineRule="auto"/>
        <w:rPr>
          <w:rFonts w:ascii="Arial" w:hAnsi="Arial" w:cs="Arial"/>
          <w:b/>
          <w:bCs/>
        </w:rPr>
      </w:pPr>
    </w:p>
    <w:p w14:paraId="7DCD9E4F" w14:textId="77777777" w:rsidR="00AC2061" w:rsidRDefault="00AC2061" w:rsidP="00AC2061">
      <w:pPr>
        <w:spacing w:line="480" w:lineRule="auto"/>
        <w:rPr>
          <w:rFonts w:ascii="Arial" w:hAnsi="Arial" w:cs="Arial"/>
          <w:b/>
          <w:bCs/>
        </w:rPr>
      </w:pPr>
    </w:p>
    <w:p w14:paraId="543F4358" w14:textId="77777777" w:rsidR="00AC2061" w:rsidRDefault="00AC2061" w:rsidP="00AC2061">
      <w:pPr>
        <w:spacing w:line="480" w:lineRule="auto"/>
        <w:rPr>
          <w:rFonts w:ascii="Arial" w:hAnsi="Arial" w:cs="Arial"/>
          <w:b/>
          <w:bCs/>
        </w:rPr>
      </w:pPr>
    </w:p>
    <w:p w14:paraId="1A07708C" w14:textId="77777777" w:rsidR="00AC2061" w:rsidRDefault="00AC2061" w:rsidP="00AC2061">
      <w:pPr>
        <w:spacing w:line="480" w:lineRule="auto"/>
        <w:rPr>
          <w:rFonts w:ascii="Arial" w:hAnsi="Arial" w:cs="Arial"/>
          <w:b/>
          <w:bCs/>
        </w:rPr>
      </w:pPr>
    </w:p>
    <w:p w14:paraId="2A755BB7" w14:textId="77777777" w:rsidR="00AC2061" w:rsidRDefault="00AC2061" w:rsidP="00AC2061">
      <w:pPr>
        <w:spacing w:line="480" w:lineRule="auto"/>
        <w:rPr>
          <w:rFonts w:ascii="Arial" w:hAnsi="Arial" w:cs="Arial"/>
          <w:b/>
          <w:bCs/>
        </w:rPr>
      </w:pPr>
    </w:p>
    <w:p w14:paraId="734C3F70" w14:textId="77777777" w:rsidR="00AC2061" w:rsidRDefault="00AC2061" w:rsidP="00AC2061">
      <w:pPr>
        <w:spacing w:line="480" w:lineRule="auto"/>
        <w:rPr>
          <w:rFonts w:ascii="Arial" w:hAnsi="Arial" w:cs="Arial"/>
          <w:b/>
          <w:bCs/>
        </w:rPr>
      </w:pPr>
    </w:p>
    <w:p w14:paraId="4F2AA239" w14:textId="77777777" w:rsidR="00AC2061" w:rsidRDefault="00AC2061" w:rsidP="00AC2061">
      <w:pPr>
        <w:spacing w:line="480" w:lineRule="auto"/>
        <w:rPr>
          <w:rFonts w:ascii="Arial" w:hAnsi="Arial" w:cs="Arial"/>
          <w:b/>
          <w:bCs/>
        </w:rPr>
      </w:pPr>
    </w:p>
    <w:p w14:paraId="319E4C56" w14:textId="26F7F6D0" w:rsidR="00AC2061" w:rsidRDefault="00AC2061" w:rsidP="00AC2061">
      <w:pPr>
        <w:spacing w:line="480" w:lineRule="auto"/>
        <w:rPr>
          <w:rFonts w:ascii="Arial" w:hAnsi="Arial" w:cs="Arial"/>
        </w:rPr>
      </w:pPr>
      <w:r>
        <w:rPr>
          <w:rFonts w:ascii="Arial" w:hAnsi="Arial" w:cs="Arial"/>
        </w:rPr>
        <w:lastRenderedPageBreak/>
        <w:t>Figure 2. BCBT-I vs. Treatment as Usual Survival Distributions and Attempt-Free Probabilities (and 95% CI) Post-Discharge (at each follow-up point)</w:t>
      </w:r>
    </w:p>
    <w:p w14:paraId="20E33ABD" w14:textId="77777777" w:rsidR="00AC2061" w:rsidRDefault="00AC2061" w:rsidP="00AC2061">
      <w:pPr>
        <w:spacing w:line="480" w:lineRule="auto"/>
        <w:rPr>
          <w:rFonts w:ascii="Arial" w:hAnsi="Arial" w:cs="Arial"/>
        </w:rPr>
      </w:pPr>
      <w:r>
        <w:rPr>
          <w:noProof/>
        </w:rPr>
        <mc:AlternateContent>
          <mc:Choice Requires="wpg">
            <w:drawing>
              <wp:anchor distT="0" distB="0" distL="114300" distR="114300" simplePos="0" relativeHeight="251660288" behindDoc="0" locked="0" layoutInCell="1" allowOverlap="1" wp14:anchorId="1B72C37A" wp14:editId="1CC1E036">
                <wp:simplePos x="0" y="0"/>
                <wp:positionH relativeFrom="column">
                  <wp:posOffset>2457450</wp:posOffset>
                </wp:positionH>
                <wp:positionV relativeFrom="paragraph">
                  <wp:posOffset>2645410</wp:posOffset>
                </wp:positionV>
                <wp:extent cx="1279525" cy="1962150"/>
                <wp:effectExtent l="0" t="0" r="15875" b="19050"/>
                <wp:wrapNone/>
                <wp:docPr id="2059005672" name="Group 5"/>
                <wp:cNvGraphicFramePr/>
                <a:graphic xmlns:a="http://schemas.openxmlformats.org/drawingml/2006/main">
                  <a:graphicData uri="http://schemas.microsoft.com/office/word/2010/wordprocessingGroup">
                    <wpg:wgp>
                      <wpg:cNvGrpSpPr/>
                      <wpg:grpSpPr>
                        <a:xfrm>
                          <a:off x="0" y="0"/>
                          <a:ext cx="1279525" cy="1962150"/>
                          <a:chOff x="0" y="0"/>
                          <a:chExt cx="1279525" cy="1962150"/>
                        </a:xfrm>
                      </wpg:grpSpPr>
                      <wps:wsp>
                        <wps:cNvPr id="1859914418" name="Text Box 3"/>
                        <wps:cNvSpPr txBox="1"/>
                        <wps:spPr>
                          <a:xfrm>
                            <a:off x="0" y="0"/>
                            <a:ext cx="1279525" cy="247650"/>
                          </a:xfrm>
                          <a:prstGeom prst="rect">
                            <a:avLst/>
                          </a:prstGeom>
                          <a:solidFill>
                            <a:schemeClr val="lt1"/>
                          </a:solidFill>
                          <a:ln w="6350">
                            <a:solidFill>
                              <a:prstClr val="black"/>
                            </a:solidFill>
                          </a:ln>
                        </wps:spPr>
                        <wps:txbx>
                          <w:txbxContent>
                            <w:p w14:paraId="33A17898" w14:textId="77777777" w:rsidR="00AC2061" w:rsidRPr="00B073B1" w:rsidRDefault="00AC2061" w:rsidP="00AC2061">
                              <w:pPr>
                                <w:rPr>
                                  <w:rFonts w:ascii="Arial" w:hAnsi="Arial" w:cs="Arial"/>
                                  <w:sz w:val="16"/>
                                  <w:szCs w:val="16"/>
                                </w:rPr>
                              </w:pPr>
                              <w:r>
                                <w:rPr>
                                  <w:rFonts w:ascii="Arial" w:hAnsi="Arial" w:cs="Arial"/>
                                  <w:sz w:val="16"/>
                                  <w:szCs w:val="16"/>
                                </w:rPr>
                                <w:t>67% (95% CI 0.65-0.73)</w:t>
                              </w:r>
                            </w:p>
                            <w:p w14:paraId="549C21C1"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56308243" name="Text Box 3"/>
                        <wps:cNvSpPr txBox="1"/>
                        <wps:spPr>
                          <a:xfrm>
                            <a:off x="0" y="349250"/>
                            <a:ext cx="1279525" cy="247650"/>
                          </a:xfrm>
                          <a:prstGeom prst="rect">
                            <a:avLst/>
                          </a:prstGeom>
                          <a:solidFill>
                            <a:schemeClr val="lt1"/>
                          </a:solidFill>
                          <a:ln w="6350">
                            <a:solidFill>
                              <a:prstClr val="black"/>
                            </a:solidFill>
                          </a:ln>
                        </wps:spPr>
                        <wps:txbx>
                          <w:txbxContent>
                            <w:p w14:paraId="0043C8A9" w14:textId="77777777" w:rsidR="00AC2061" w:rsidRPr="00B073B1" w:rsidRDefault="00AC2061" w:rsidP="00AC2061">
                              <w:pPr>
                                <w:rPr>
                                  <w:rFonts w:ascii="Arial" w:hAnsi="Arial" w:cs="Arial"/>
                                  <w:sz w:val="16"/>
                                  <w:szCs w:val="16"/>
                                </w:rPr>
                              </w:pPr>
                              <w:r>
                                <w:rPr>
                                  <w:rFonts w:ascii="Arial" w:hAnsi="Arial" w:cs="Arial"/>
                                  <w:sz w:val="16"/>
                                  <w:szCs w:val="16"/>
                                </w:rPr>
                                <w:t>70% (95% CI 0.66-0.75)</w:t>
                              </w:r>
                            </w:p>
                            <w:p w14:paraId="4375A1D5"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09469565" name="Text Box 3"/>
                        <wps:cNvSpPr txBox="1"/>
                        <wps:spPr>
                          <a:xfrm>
                            <a:off x="0" y="688975"/>
                            <a:ext cx="1279525" cy="247650"/>
                          </a:xfrm>
                          <a:prstGeom prst="rect">
                            <a:avLst/>
                          </a:prstGeom>
                          <a:solidFill>
                            <a:schemeClr val="lt1"/>
                          </a:solidFill>
                          <a:ln w="6350">
                            <a:solidFill>
                              <a:prstClr val="black"/>
                            </a:solidFill>
                          </a:ln>
                        </wps:spPr>
                        <wps:txbx>
                          <w:txbxContent>
                            <w:p w14:paraId="0EDA9261" w14:textId="77777777" w:rsidR="00AC2061" w:rsidRPr="00B073B1" w:rsidRDefault="00AC2061" w:rsidP="00AC2061">
                              <w:pPr>
                                <w:rPr>
                                  <w:rFonts w:ascii="Arial" w:hAnsi="Arial" w:cs="Arial"/>
                                  <w:sz w:val="16"/>
                                  <w:szCs w:val="16"/>
                                </w:rPr>
                              </w:pPr>
                              <w:r>
                                <w:rPr>
                                  <w:rFonts w:ascii="Arial" w:hAnsi="Arial" w:cs="Arial"/>
                                  <w:sz w:val="16"/>
                                  <w:szCs w:val="16"/>
                                </w:rPr>
                                <w:t>71% (95% CI 0.68-0.74)</w:t>
                              </w:r>
                            </w:p>
                            <w:p w14:paraId="722E41D7"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34785577" name="Text Box 3"/>
                        <wps:cNvSpPr txBox="1"/>
                        <wps:spPr>
                          <a:xfrm>
                            <a:off x="0" y="1031875"/>
                            <a:ext cx="1279525" cy="247650"/>
                          </a:xfrm>
                          <a:prstGeom prst="rect">
                            <a:avLst/>
                          </a:prstGeom>
                          <a:solidFill>
                            <a:schemeClr val="lt1"/>
                          </a:solidFill>
                          <a:ln w="6350">
                            <a:solidFill>
                              <a:prstClr val="black"/>
                            </a:solidFill>
                          </a:ln>
                        </wps:spPr>
                        <wps:txbx>
                          <w:txbxContent>
                            <w:p w14:paraId="7C074ABC" w14:textId="77777777" w:rsidR="00AC2061" w:rsidRPr="00B073B1" w:rsidRDefault="00AC2061" w:rsidP="00AC2061">
                              <w:pPr>
                                <w:rPr>
                                  <w:rFonts w:ascii="Arial" w:hAnsi="Arial" w:cs="Arial"/>
                                  <w:sz w:val="16"/>
                                  <w:szCs w:val="16"/>
                                </w:rPr>
                              </w:pPr>
                              <w:r>
                                <w:rPr>
                                  <w:rFonts w:ascii="Arial" w:hAnsi="Arial" w:cs="Arial"/>
                                  <w:sz w:val="16"/>
                                  <w:szCs w:val="16"/>
                                </w:rPr>
                                <w:t>76% (95% CI 0.73-0.79)</w:t>
                              </w:r>
                            </w:p>
                            <w:p w14:paraId="3ECB17F1"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27846516" name="Text Box 3"/>
                        <wps:cNvSpPr txBox="1"/>
                        <wps:spPr>
                          <a:xfrm>
                            <a:off x="0" y="1390650"/>
                            <a:ext cx="1279525" cy="247650"/>
                          </a:xfrm>
                          <a:prstGeom prst="rect">
                            <a:avLst/>
                          </a:prstGeom>
                          <a:solidFill>
                            <a:schemeClr val="lt1"/>
                          </a:solidFill>
                          <a:ln w="6350">
                            <a:solidFill>
                              <a:prstClr val="black"/>
                            </a:solidFill>
                          </a:ln>
                        </wps:spPr>
                        <wps:txbx>
                          <w:txbxContent>
                            <w:p w14:paraId="25226D78" w14:textId="77777777" w:rsidR="00AC2061" w:rsidRPr="00B073B1" w:rsidRDefault="00AC2061" w:rsidP="00AC2061">
                              <w:pPr>
                                <w:rPr>
                                  <w:rFonts w:ascii="Arial" w:hAnsi="Arial" w:cs="Arial"/>
                                  <w:sz w:val="16"/>
                                  <w:szCs w:val="16"/>
                                </w:rPr>
                              </w:pPr>
                              <w:r>
                                <w:rPr>
                                  <w:rFonts w:ascii="Arial" w:hAnsi="Arial" w:cs="Arial"/>
                                  <w:sz w:val="16"/>
                                  <w:szCs w:val="16"/>
                                </w:rPr>
                                <w:t>81% (95% CI 0.79-0.83)</w:t>
                              </w:r>
                            </w:p>
                            <w:p w14:paraId="34CE678A"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40065055" name="Text Box 3"/>
                        <wps:cNvSpPr txBox="1"/>
                        <wps:spPr>
                          <a:xfrm>
                            <a:off x="0" y="1714500"/>
                            <a:ext cx="1279525" cy="247650"/>
                          </a:xfrm>
                          <a:prstGeom prst="rect">
                            <a:avLst/>
                          </a:prstGeom>
                          <a:solidFill>
                            <a:schemeClr val="lt1"/>
                          </a:solidFill>
                          <a:ln w="6350">
                            <a:solidFill>
                              <a:prstClr val="black"/>
                            </a:solidFill>
                          </a:ln>
                        </wps:spPr>
                        <wps:txbx>
                          <w:txbxContent>
                            <w:p w14:paraId="21F42716" w14:textId="77777777" w:rsidR="00AC2061" w:rsidRPr="00B073B1" w:rsidRDefault="00AC2061" w:rsidP="00AC2061">
                              <w:pPr>
                                <w:rPr>
                                  <w:rFonts w:ascii="Arial" w:hAnsi="Arial" w:cs="Arial"/>
                                  <w:sz w:val="16"/>
                                  <w:szCs w:val="16"/>
                                </w:rPr>
                              </w:pPr>
                              <w:r>
                                <w:rPr>
                                  <w:rFonts w:ascii="Arial" w:hAnsi="Arial" w:cs="Arial"/>
                                  <w:sz w:val="16"/>
                                  <w:szCs w:val="16"/>
                                </w:rPr>
                                <w:t>88% (95% CI 0.86-0.92)</w:t>
                              </w:r>
                            </w:p>
                            <w:p w14:paraId="2E8C4931"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B72C37A" id="Group 5" o:spid="_x0000_s1026" style="position:absolute;margin-left:193.5pt;margin-top:208.3pt;width:100.75pt;height:154.5pt;z-index:251660288" coordsize="12795,196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">
                <v:shapetype id="_x0000_t202" coordsize="21600,21600" o:spt="202" path="m,l,21600r21600,l21600,xe">
                  <v:stroke joinstyle="miter"/>
                  <v:path gradientshapeok="t" o:connecttype="rect"/>
                </v:shapetype>
                <v:shape id="Text Box 3" o:spid="_x0000_s1027" type="#_x0000_t202" style="position:absolute;width:12795;height:247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" fillcolor="white [3201]" strokeweight=".5pt">
                  <v:textbox>
                    <w:txbxContent>
                      <w:p w14:paraId="33A17898" w14:textId="77777777" w:rsidR="00AC2061" w:rsidRPr="00B073B1" w:rsidRDefault="00AC2061" w:rsidP="00AC2061">
                        <w:pPr>
                          <w:rPr>
                            <w:rFonts w:ascii="Arial" w:hAnsi="Arial" w:cs="Arial"/>
                            <w:sz w:val="16"/>
                            <w:szCs w:val="16"/>
                          </w:rPr>
                        </w:pPr>
                        <w:r>
                          <w:rPr>
                            <w:rFonts w:ascii="Arial" w:hAnsi="Arial" w:cs="Arial"/>
                            <w:sz w:val="16"/>
                            <w:szCs w:val="16"/>
                          </w:rPr>
                          <w:t>67% (95% CI 0.65-0.73)</w:t>
                        </w:r>
                      </w:p>
                      <w:p w14:paraId="549C21C1" w14:textId="77777777" w:rsidR="00AC2061" w:rsidRDefault="00AC2061" w:rsidP="00AC2061"/>
                    </w:txbxContent>
                  </v:textbox>
                </v:shape>
                <v:shape id="Text Box 3" o:spid="_x0000_s1028" type="#_x0000_t202" style="position:absolute;top:3492;width:12795;height:24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" fillcolor="white [3201]" strokeweight=".5pt">
                  <v:textbox>
                    <w:txbxContent>
                      <w:p w14:paraId="0043C8A9" w14:textId="77777777" w:rsidR="00AC2061" w:rsidRPr="00B073B1" w:rsidRDefault="00AC2061" w:rsidP="00AC2061">
                        <w:pPr>
                          <w:rPr>
                            <w:rFonts w:ascii="Arial" w:hAnsi="Arial" w:cs="Arial"/>
                            <w:sz w:val="16"/>
                            <w:szCs w:val="16"/>
                          </w:rPr>
                        </w:pPr>
                        <w:r>
                          <w:rPr>
                            <w:rFonts w:ascii="Arial" w:hAnsi="Arial" w:cs="Arial"/>
                            <w:sz w:val="16"/>
                            <w:szCs w:val="16"/>
                          </w:rPr>
                          <w:t>70% (95% CI 0.66-0.75)</w:t>
                        </w:r>
                      </w:p>
                      <w:p w14:paraId="4375A1D5" w14:textId="77777777" w:rsidR="00AC2061" w:rsidRDefault="00AC2061" w:rsidP="00AC2061"/>
                    </w:txbxContent>
                  </v:textbox>
                </v:shape>
                <v:shape id="Text Box 3" o:spid="_x0000_s1029" type="#_x0000_t202" style="position:absolute;top:6889;width:12795;height:24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" fillcolor="white [3201]" strokeweight=".5pt">
                  <v:textbox>
                    <w:txbxContent>
                      <w:p w14:paraId="0EDA9261" w14:textId="77777777" w:rsidR="00AC2061" w:rsidRPr="00B073B1" w:rsidRDefault="00AC2061" w:rsidP="00AC2061">
                        <w:pPr>
                          <w:rPr>
                            <w:rFonts w:ascii="Arial" w:hAnsi="Arial" w:cs="Arial"/>
                            <w:sz w:val="16"/>
                            <w:szCs w:val="16"/>
                          </w:rPr>
                        </w:pPr>
                        <w:r>
                          <w:rPr>
                            <w:rFonts w:ascii="Arial" w:hAnsi="Arial" w:cs="Arial"/>
                            <w:sz w:val="16"/>
                            <w:szCs w:val="16"/>
                          </w:rPr>
                          <w:t>71% (95% CI 0.68-0.74)</w:t>
                        </w:r>
                      </w:p>
                      <w:p w14:paraId="722E41D7" w14:textId="77777777" w:rsidR="00AC2061" w:rsidRDefault="00AC2061" w:rsidP="00AC2061"/>
                    </w:txbxContent>
                  </v:textbox>
                </v:shape>
                <v:shape id="Text Box 3" o:spid="_x0000_s1030" type="#_x0000_t202" style="position:absolute;top:10318;width:12795;height:24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" fillcolor="white [3201]" strokeweight=".5pt">
                  <v:textbox>
                    <w:txbxContent>
                      <w:p w14:paraId="7C074ABC" w14:textId="77777777" w:rsidR="00AC2061" w:rsidRPr="00B073B1" w:rsidRDefault="00AC2061" w:rsidP="00AC2061">
                        <w:pPr>
                          <w:rPr>
                            <w:rFonts w:ascii="Arial" w:hAnsi="Arial" w:cs="Arial"/>
                            <w:sz w:val="16"/>
                            <w:szCs w:val="16"/>
                          </w:rPr>
                        </w:pPr>
                        <w:r>
                          <w:rPr>
                            <w:rFonts w:ascii="Arial" w:hAnsi="Arial" w:cs="Arial"/>
                            <w:sz w:val="16"/>
                            <w:szCs w:val="16"/>
                          </w:rPr>
                          <w:t>76% (95% CI 0.73-0.79)</w:t>
                        </w:r>
                      </w:p>
                      <w:p w14:paraId="3ECB17F1" w14:textId="77777777" w:rsidR="00AC2061" w:rsidRDefault="00AC2061" w:rsidP="00AC2061"/>
                    </w:txbxContent>
                  </v:textbox>
                </v:shape>
                <v:shape id="Text Box 3" o:spid="_x0000_s1031" type="#_x0000_t202" style="position:absolute;top:13906;width:12795;height:24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" fillcolor="white [3201]" strokeweight=".5pt">
                  <v:textbox>
                    <w:txbxContent>
                      <w:p w14:paraId="25226D78" w14:textId="77777777" w:rsidR="00AC2061" w:rsidRPr="00B073B1" w:rsidRDefault="00AC2061" w:rsidP="00AC2061">
                        <w:pPr>
                          <w:rPr>
                            <w:rFonts w:ascii="Arial" w:hAnsi="Arial" w:cs="Arial"/>
                            <w:sz w:val="16"/>
                            <w:szCs w:val="16"/>
                          </w:rPr>
                        </w:pPr>
                        <w:r>
                          <w:rPr>
                            <w:rFonts w:ascii="Arial" w:hAnsi="Arial" w:cs="Arial"/>
                            <w:sz w:val="16"/>
                            <w:szCs w:val="16"/>
                          </w:rPr>
                          <w:t>81% (95% CI 0.79-0.83)</w:t>
                        </w:r>
                      </w:p>
                      <w:p w14:paraId="34CE678A" w14:textId="77777777" w:rsidR="00AC2061" w:rsidRDefault="00AC2061" w:rsidP="00AC2061"/>
                    </w:txbxContent>
                  </v:textbox>
                </v:shape>
                <v:shape id="Text Box 3" o:spid="_x0000_s1032" type="#_x0000_t202" style="position:absolute;top:17145;width:12795;height:247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" fillcolor="white [3201]" strokeweight=".5pt">
                  <v:textbox>
                    <w:txbxContent>
                      <w:p w14:paraId="21F42716" w14:textId="77777777" w:rsidR="00AC2061" w:rsidRPr="00B073B1" w:rsidRDefault="00AC2061" w:rsidP="00AC2061">
                        <w:pPr>
                          <w:rPr>
                            <w:rFonts w:ascii="Arial" w:hAnsi="Arial" w:cs="Arial"/>
                            <w:sz w:val="16"/>
                            <w:szCs w:val="16"/>
                          </w:rPr>
                        </w:pPr>
                        <w:r>
                          <w:rPr>
                            <w:rFonts w:ascii="Arial" w:hAnsi="Arial" w:cs="Arial"/>
                            <w:sz w:val="16"/>
                            <w:szCs w:val="16"/>
                          </w:rPr>
                          <w:t>88% (95% CI 0.86-0.92)</w:t>
                        </w:r>
                      </w:p>
                      <w:p w14:paraId="2E8C4931" w14:textId="77777777" w:rsidR="00AC2061" w:rsidRDefault="00AC2061" w:rsidP="00AC2061"/>
                    </w:txbxContent>
                  </v:textbox>
                </v:shape>
              </v:group>
            </w:pict>
          </mc:Fallback>
        </mc:AlternateContent>
      </w:r>
      <w:r>
        <w:rPr>
          <w:noProof/>
        </w:rPr>
        <mc:AlternateContent>
          <mc:Choice Requires="wpg">
            <w:drawing>
              <wp:anchor distT="0" distB="0" distL="114300" distR="114300" simplePos="0" relativeHeight="251659264" behindDoc="0" locked="0" layoutInCell="1" allowOverlap="1" wp14:anchorId="54C336A2" wp14:editId="6013B579">
                <wp:simplePos x="0" y="0"/>
                <wp:positionH relativeFrom="column">
                  <wp:posOffset>1870075</wp:posOffset>
                </wp:positionH>
                <wp:positionV relativeFrom="paragraph">
                  <wp:posOffset>248285</wp:posOffset>
                </wp:positionV>
                <wp:extent cx="1279525" cy="1911350"/>
                <wp:effectExtent l="0" t="0" r="15875" b="12700"/>
                <wp:wrapNone/>
                <wp:docPr id="910415259" name="Group 4"/>
                <wp:cNvGraphicFramePr/>
                <a:graphic xmlns:a="http://schemas.openxmlformats.org/drawingml/2006/main">
                  <a:graphicData uri="http://schemas.microsoft.com/office/word/2010/wordprocessingGroup">
                    <wpg:wgp>
                      <wpg:cNvGrpSpPr/>
                      <wpg:grpSpPr>
                        <a:xfrm>
                          <a:off x="0" y="0"/>
                          <a:ext cx="1279525" cy="1911350"/>
                          <a:chOff x="0" y="0"/>
                          <a:chExt cx="1279525" cy="1911350"/>
                        </a:xfrm>
                      </wpg:grpSpPr>
                      <wps:wsp>
                        <wps:cNvPr id="1750192284" name="Text Box 3"/>
                        <wps:cNvSpPr txBox="1"/>
                        <wps:spPr>
                          <a:xfrm>
                            <a:off x="0" y="1663700"/>
                            <a:ext cx="1279525" cy="247650"/>
                          </a:xfrm>
                          <a:prstGeom prst="rect">
                            <a:avLst/>
                          </a:prstGeom>
                          <a:solidFill>
                            <a:schemeClr val="lt1"/>
                          </a:solidFill>
                          <a:ln w="6350">
                            <a:solidFill>
                              <a:prstClr val="black"/>
                            </a:solidFill>
                          </a:ln>
                        </wps:spPr>
                        <wps:txbx>
                          <w:txbxContent>
                            <w:p w14:paraId="018A1445" w14:textId="77777777" w:rsidR="00AC2061" w:rsidRPr="00B073B1" w:rsidRDefault="00AC2061" w:rsidP="00AC2061">
                              <w:pPr>
                                <w:rPr>
                                  <w:rFonts w:ascii="Arial" w:hAnsi="Arial" w:cs="Arial"/>
                                  <w:sz w:val="16"/>
                                  <w:szCs w:val="16"/>
                                </w:rPr>
                              </w:pPr>
                              <w:r>
                                <w:rPr>
                                  <w:rFonts w:ascii="Arial" w:hAnsi="Arial" w:cs="Arial"/>
                                  <w:sz w:val="16"/>
                                  <w:szCs w:val="16"/>
                                </w:rPr>
                                <w:t>98% (95% CI 0.96-1.00)</w:t>
                              </w:r>
                            </w:p>
                            <w:p w14:paraId="29384314" w14:textId="77777777" w:rsidR="00AC2061" w:rsidRDefault="00AC2061" w:rsidP="00AC2061"/>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954701321" name="Text Box 3"/>
                        <wps:cNvSpPr txBox="1"/>
                        <wps:spPr>
                          <a:xfrm>
                            <a:off x="0" y="1346200"/>
                            <a:ext cx="1279525" cy="247650"/>
                          </a:xfrm>
                          <a:prstGeom prst="rect">
                            <a:avLst/>
                          </a:prstGeom>
                          <a:solidFill>
                            <a:schemeClr val="lt1"/>
                          </a:solidFill>
                          <a:ln w="6350">
                            <a:solidFill>
                              <a:prstClr val="black"/>
                            </a:solidFill>
                          </a:ln>
                        </wps:spPr>
                        <wps:txbx>
                          <w:txbxContent>
                            <w:p w14:paraId="2DA6993E" w14:textId="77777777" w:rsidR="00AC2061" w:rsidRPr="00B073B1" w:rsidRDefault="00AC2061" w:rsidP="00AC2061">
                              <w:pPr>
                                <w:rPr>
                                  <w:rFonts w:ascii="Arial" w:hAnsi="Arial" w:cs="Arial"/>
                                  <w:sz w:val="16"/>
                                  <w:szCs w:val="16"/>
                                </w:rPr>
                              </w:pPr>
                              <w:r>
                                <w:rPr>
                                  <w:rFonts w:ascii="Arial" w:hAnsi="Arial" w:cs="Arial"/>
                                  <w:sz w:val="16"/>
                                  <w:szCs w:val="16"/>
                                </w:rPr>
                                <w:t>94% (95% CI 0.92-0.96)</w:t>
                              </w:r>
                            </w:p>
                            <w:p w14:paraId="6B51A97A" w14:textId="77777777" w:rsidR="00AC2061" w:rsidRDefault="00AC2061" w:rsidP="00AC2061"/>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252734302" name="Text Box 3"/>
                        <wps:cNvSpPr txBox="1"/>
                        <wps:spPr>
                          <a:xfrm>
                            <a:off x="0" y="1000125"/>
                            <a:ext cx="1279525" cy="247650"/>
                          </a:xfrm>
                          <a:prstGeom prst="rect">
                            <a:avLst/>
                          </a:prstGeom>
                          <a:solidFill>
                            <a:schemeClr val="lt1"/>
                          </a:solidFill>
                          <a:ln w="6350">
                            <a:solidFill>
                              <a:prstClr val="black"/>
                            </a:solidFill>
                          </a:ln>
                        </wps:spPr>
                        <wps:txbx>
                          <w:txbxContent>
                            <w:p w14:paraId="39EC0F39" w14:textId="77777777" w:rsidR="00AC2061" w:rsidRPr="00B073B1" w:rsidRDefault="00AC2061" w:rsidP="00AC2061">
                              <w:pPr>
                                <w:rPr>
                                  <w:rFonts w:ascii="Arial" w:hAnsi="Arial" w:cs="Arial"/>
                                  <w:sz w:val="16"/>
                                  <w:szCs w:val="16"/>
                                </w:rPr>
                              </w:pPr>
                              <w:r>
                                <w:rPr>
                                  <w:rFonts w:ascii="Arial" w:hAnsi="Arial" w:cs="Arial"/>
                                  <w:sz w:val="16"/>
                                  <w:szCs w:val="16"/>
                                </w:rPr>
                                <w:t>91% (95% CI 0.88-0.94)</w:t>
                              </w:r>
                            </w:p>
                            <w:p w14:paraId="3010D72C"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58798818" name="Text Box 3"/>
                        <wps:cNvSpPr txBox="1"/>
                        <wps:spPr>
                          <a:xfrm>
                            <a:off x="0" y="625475"/>
                            <a:ext cx="1279525" cy="247650"/>
                          </a:xfrm>
                          <a:prstGeom prst="rect">
                            <a:avLst/>
                          </a:prstGeom>
                          <a:solidFill>
                            <a:schemeClr val="lt1"/>
                          </a:solidFill>
                          <a:ln w="6350">
                            <a:solidFill>
                              <a:prstClr val="black"/>
                            </a:solidFill>
                          </a:ln>
                        </wps:spPr>
                        <wps:txbx>
                          <w:txbxContent>
                            <w:p w14:paraId="68441457" w14:textId="77777777" w:rsidR="00AC2061" w:rsidRPr="00B073B1" w:rsidRDefault="00AC2061" w:rsidP="00AC2061">
                              <w:pPr>
                                <w:rPr>
                                  <w:rFonts w:ascii="Arial" w:hAnsi="Arial" w:cs="Arial"/>
                                  <w:sz w:val="16"/>
                                  <w:szCs w:val="16"/>
                                </w:rPr>
                              </w:pPr>
                              <w:r>
                                <w:rPr>
                                  <w:rFonts w:ascii="Arial" w:hAnsi="Arial" w:cs="Arial"/>
                                  <w:sz w:val="16"/>
                                  <w:szCs w:val="16"/>
                                </w:rPr>
                                <w:t>90% (95% CI 0.87-0.93)</w:t>
                              </w:r>
                            </w:p>
                            <w:p w14:paraId="16CD4053"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84974076" name="Text Box 3"/>
                        <wps:cNvSpPr txBox="1"/>
                        <wps:spPr>
                          <a:xfrm>
                            <a:off x="0" y="323850"/>
                            <a:ext cx="1279525" cy="247650"/>
                          </a:xfrm>
                          <a:prstGeom prst="rect">
                            <a:avLst/>
                          </a:prstGeom>
                          <a:solidFill>
                            <a:schemeClr val="lt1"/>
                          </a:solidFill>
                          <a:ln w="6350">
                            <a:solidFill>
                              <a:prstClr val="black"/>
                            </a:solidFill>
                          </a:ln>
                        </wps:spPr>
                        <wps:txbx>
                          <w:txbxContent>
                            <w:p w14:paraId="5E670315" w14:textId="77777777" w:rsidR="00AC2061" w:rsidRPr="00B073B1" w:rsidRDefault="00AC2061" w:rsidP="00AC2061">
                              <w:pPr>
                                <w:rPr>
                                  <w:rFonts w:ascii="Arial" w:hAnsi="Arial" w:cs="Arial"/>
                                  <w:sz w:val="16"/>
                                  <w:szCs w:val="16"/>
                                </w:rPr>
                              </w:pPr>
                              <w:r>
                                <w:rPr>
                                  <w:rFonts w:ascii="Arial" w:hAnsi="Arial" w:cs="Arial"/>
                                  <w:sz w:val="16"/>
                                  <w:szCs w:val="16"/>
                                </w:rPr>
                                <w:t>87% (95% CI 0.83-0.91)</w:t>
                              </w:r>
                            </w:p>
                            <w:p w14:paraId="30EE1425"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059140597" name="Text Box 3"/>
                        <wps:cNvSpPr txBox="1"/>
                        <wps:spPr>
                          <a:xfrm>
                            <a:off x="0" y="0"/>
                            <a:ext cx="1279525" cy="247650"/>
                          </a:xfrm>
                          <a:prstGeom prst="rect">
                            <a:avLst/>
                          </a:prstGeom>
                          <a:solidFill>
                            <a:schemeClr val="lt1"/>
                          </a:solidFill>
                          <a:ln w="6350">
                            <a:solidFill>
                              <a:prstClr val="black"/>
                            </a:solidFill>
                          </a:ln>
                        </wps:spPr>
                        <wps:txbx>
                          <w:txbxContent>
                            <w:p w14:paraId="485BF67B" w14:textId="77777777" w:rsidR="00AC2061" w:rsidRPr="00B073B1" w:rsidRDefault="00AC2061" w:rsidP="00AC2061">
                              <w:pPr>
                                <w:rPr>
                                  <w:rFonts w:ascii="Arial" w:hAnsi="Arial" w:cs="Arial"/>
                                  <w:sz w:val="16"/>
                                  <w:szCs w:val="16"/>
                                </w:rPr>
                              </w:pPr>
                              <w:r>
                                <w:rPr>
                                  <w:rFonts w:ascii="Arial" w:hAnsi="Arial" w:cs="Arial"/>
                                  <w:sz w:val="16"/>
                                  <w:szCs w:val="16"/>
                                </w:rPr>
                                <w:t>84% (95% CI 0.80-0.88)</w:t>
                              </w:r>
                            </w:p>
                            <w:p w14:paraId="0B0BB5A9" w14:textId="77777777" w:rsidR="00AC2061" w:rsidRDefault="00AC2061" w:rsidP="00AC2061"/>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4C336A2" id="Group 4" o:spid="_x0000_s1033" style="position:absolute;margin-left:147.25pt;margin-top:19.55pt;width:100.75pt;height:150.5pt;z-index:251659264" coordsize="12795,191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">
                <v:shape id="Text Box 3" o:spid="_x0000_s1034" type="#_x0000_t202" style="position:absolute;top:16637;width:12795;height:2476;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" fillcolor="white [3201]" strokeweight=".5pt">
                  <v:textbox>
                    <w:txbxContent>
                      <w:p w14:paraId="018A1445" w14:textId="77777777" w:rsidR="00AC2061" w:rsidRPr="00B073B1" w:rsidRDefault="00AC2061" w:rsidP="00AC2061">
                        <w:pPr>
                          <w:rPr>
                            <w:rFonts w:ascii="Arial" w:hAnsi="Arial" w:cs="Arial"/>
                            <w:sz w:val="16"/>
                            <w:szCs w:val="16"/>
                          </w:rPr>
                        </w:pPr>
                        <w:r>
                          <w:rPr>
                            <w:rFonts w:ascii="Arial" w:hAnsi="Arial" w:cs="Arial"/>
                            <w:sz w:val="16"/>
                            <w:szCs w:val="16"/>
                          </w:rPr>
                          <w:t>98% (95% CI 0.96-1.00)</w:t>
                        </w:r>
                      </w:p>
                      <w:p w14:paraId="29384314" w14:textId="77777777" w:rsidR="00AC2061" w:rsidRDefault="00AC2061" w:rsidP="00AC2061"/>
                    </w:txbxContent>
                  </v:textbox>
                </v:shape>
                <v:shape id="Text Box 3" o:spid="_x0000_s1035" type="#_x0000_t202" style="position:absolute;top:13462;width:12795;height:2476;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" fillcolor="white [3201]" strokeweight=".5pt">
                  <v:textbox>
                    <w:txbxContent>
                      <w:p w14:paraId="2DA6993E" w14:textId="77777777" w:rsidR="00AC2061" w:rsidRPr="00B073B1" w:rsidRDefault="00AC2061" w:rsidP="00AC2061">
                        <w:pPr>
                          <w:rPr>
                            <w:rFonts w:ascii="Arial" w:hAnsi="Arial" w:cs="Arial"/>
                            <w:sz w:val="16"/>
                            <w:szCs w:val="16"/>
                          </w:rPr>
                        </w:pPr>
                        <w:r>
                          <w:rPr>
                            <w:rFonts w:ascii="Arial" w:hAnsi="Arial" w:cs="Arial"/>
                            <w:sz w:val="16"/>
                            <w:szCs w:val="16"/>
                          </w:rPr>
                          <w:t>94% (95% CI 0.92-0.96)</w:t>
                        </w:r>
                      </w:p>
                      <w:p w14:paraId="6B51A97A" w14:textId="77777777" w:rsidR="00AC2061" w:rsidRDefault="00AC2061" w:rsidP="00AC2061"/>
                    </w:txbxContent>
                  </v:textbox>
                </v:shape>
                <v:shape id="Text Box 3" o:spid="_x0000_s1036" type="#_x0000_t202" style="position:absolute;top:10001;width:12795;height:247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" fillcolor="white [3201]" strokeweight=".5pt">
                  <v:textbox>
                    <w:txbxContent>
                      <w:p w14:paraId="39EC0F39" w14:textId="77777777" w:rsidR="00AC2061" w:rsidRPr="00B073B1" w:rsidRDefault="00AC2061" w:rsidP="00AC2061">
                        <w:pPr>
                          <w:rPr>
                            <w:rFonts w:ascii="Arial" w:hAnsi="Arial" w:cs="Arial"/>
                            <w:sz w:val="16"/>
                            <w:szCs w:val="16"/>
                          </w:rPr>
                        </w:pPr>
                        <w:r>
                          <w:rPr>
                            <w:rFonts w:ascii="Arial" w:hAnsi="Arial" w:cs="Arial"/>
                            <w:sz w:val="16"/>
                            <w:szCs w:val="16"/>
                          </w:rPr>
                          <w:t>91% (95% CI 0.88-0.94)</w:t>
                        </w:r>
                      </w:p>
                      <w:p w14:paraId="3010D72C" w14:textId="77777777" w:rsidR="00AC2061" w:rsidRDefault="00AC2061" w:rsidP="00AC2061"/>
                    </w:txbxContent>
                  </v:textbox>
                </v:shape>
                <v:shape id="Text Box 3" o:spid="_x0000_s1037" type="#_x0000_t202" style="position:absolute;top:6254;width:12795;height:24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" fillcolor="white [3201]" strokeweight=".5pt">
                  <v:textbox>
                    <w:txbxContent>
                      <w:p w14:paraId="68441457" w14:textId="77777777" w:rsidR="00AC2061" w:rsidRPr="00B073B1" w:rsidRDefault="00AC2061" w:rsidP="00AC2061">
                        <w:pPr>
                          <w:rPr>
                            <w:rFonts w:ascii="Arial" w:hAnsi="Arial" w:cs="Arial"/>
                            <w:sz w:val="16"/>
                            <w:szCs w:val="16"/>
                          </w:rPr>
                        </w:pPr>
                        <w:r>
                          <w:rPr>
                            <w:rFonts w:ascii="Arial" w:hAnsi="Arial" w:cs="Arial"/>
                            <w:sz w:val="16"/>
                            <w:szCs w:val="16"/>
                          </w:rPr>
                          <w:t>90% (95% CI 0.87-0.93)</w:t>
                        </w:r>
                      </w:p>
                      <w:p w14:paraId="16CD4053" w14:textId="77777777" w:rsidR="00AC2061" w:rsidRDefault="00AC2061" w:rsidP="00AC2061"/>
                    </w:txbxContent>
                  </v:textbox>
                </v:shape>
                <v:shape id="Text Box 3" o:spid="_x0000_s1038" type="#_x0000_t202" style="position:absolute;top:3238;width:12795;height:247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" fillcolor="white [3201]" strokeweight=".5pt">
                  <v:textbox>
                    <w:txbxContent>
                      <w:p w14:paraId="5E670315" w14:textId="77777777" w:rsidR="00AC2061" w:rsidRPr="00B073B1" w:rsidRDefault="00AC2061" w:rsidP="00AC2061">
                        <w:pPr>
                          <w:rPr>
                            <w:rFonts w:ascii="Arial" w:hAnsi="Arial" w:cs="Arial"/>
                            <w:sz w:val="16"/>
                            <w:szCs w:val="16"/>
                          </w:rPr>
                        </w:pPr>
                        <w:r>
                          <w:rPr>
                            <w:rFonts w:ascii="Arial" w:hAnsi="Arial" w:cs="Arial"/>
                            <w:sz w:val="16"/>
                            <w:szCs w:val="16"/>
                          </w:rPr>
                          <w:t>87% (95% CI 0.83-0.91)</w:t>
                        </w:r>
                      </w:p>
                      <w:p w14:paraId="30EE1425" w14:textId="77777777" w:rsidR="00AC2061" w:rsidRDefault="00AC2061" w:rsidP="00AC2061"/>
                    </w:txbxContent>
                  </v:textbox>
                </v:shape>
                <v:shape id="Text Box 3" o:spid="_x0000_s1039" type="#_x0000_t202" style="position:absolute;width:12795;height:247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" fillcolor="white [3201]" strokeweight=".5pt">
                  <v:textbox>
                    <w:txbxContent>
                      <w:p w14:paraId="485BF67B" w14:textId="77777777" w:rsidR="00AC2061" w:rsidRPr="00B073B1" w:rsidRDefault="00AC2061" w:rsidP="00AC2061">
                        <w:pPr>
                          <w:rPr>
                            <w:rFonts w:ascii="Arial" w:hAnsi="Arial" w:cs="Arial"/>
                            <w:sz w:val="16"/>
                            <w:szCs w:val="16"/>
                          </w:rPr>
                        </w:pPr>
                        <w:r>
                          <w:rPr>
                            <w:rFonts w:ascii="Arial" w:hAnsi="Arial" w:cs="Arial"/>
                            <w:sz w:val="16"/>
                            <w:szCs w:val="16"/>
                          </w:rPr>
                          <w:t>84% (95% CI 0.80-0.88)</w:t>
                        </w:r>
                      </w:p>
                      <w:p w14:paraId="0B0BB5A9" w14:textId="77777777" w:rsidR="00AC2061" w:rsidRDefault="00AC2061" w:rsidP="00AC2061"/>
                    </w:txbxContent>
                  </v:textbox>
                </v:shape>
              </v:group>
            </w:pict>
          </mc:Fallback>
        </mc:AlternateContent>
      </w:r>
      <w:r>
        <w:rPr>
          <w:noProof/>
        </w:rPr>
        <w:drawing>
          <wp:inline distT="0" distB="0" distL="0" distR="0" wp14:anchorId="6F25CDE1" wp14:editId="33FE4C59">
            <wp:extent cx="5943600" cy="4944110"/>
            <wp:effectExtent l="0" t="0" r="0" b="8890"/>
            <wp:docPr id="125086010" name="Picture 2"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6010" name="Picture 2" descr="A graph of a graph of a graph&#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944110"/>
                    </a:xfrm>
                    <a:prstGeom prst="rect">
                      <a:avLst/>
                    </a:prstGeom>
                    <a:noFill/>
                    <a:ln>
                      <a:noFill/>
                    </a:ln>
                  </pic:spPr>
                </pic:pic>
              </a:graphicData>
            </a:graphic>
          </wp:inline>
        </w:drawing>
      </w:r>
    </w:p>
    <w:p w14:paraId="485120AD" w14:textId="77777777" w:rsidR="00AC2061" w:rsidRDefault="00AC2061" w:rsidP="00AC2061">
      <w:pPr>
        <w:spacing w:line="480" w:lineRule="auto"/>
        <w:rPr>
          <w:rFonts w:ascii="Arial" w:hAnsi="Arial" w:cs="Arial"/>
        </w:rPr>
      </w:pPr>
    </w:p>
    <w:p w14:paraId="6C4AF3D3" w14:textId="77777777" w:rsidR="00346D78" w:rsidRDefault="00346D78" w:rsidP="00346D78">
      <w:pPr>
        <w:contextualSpacing/>
        <w:rPr>
          <w:rFonts w:ascii="Times New Roman" w:hAnsi="Times New Roman" w:cs="Times New Roman"/>
          <w:i/>
          <w:iCs/>
          <w:sz w:val="20"/>
          <w:szCs w:val="20"/>
        </w:rPr>
      </w:pPr>
    </w:p>
    <w:p w14:paraId="71401AEF" w14:textId="08CBDEC3" w:rsidR="00346D78" w:rsidRDefault="00346D78" w:rsidP="00346D78">
      <w:pPr>
        <w:contextualSpacing/>
        <w:rPr>
          <w:rFonts w:ascii="Times New Roman" w:hAnsi="Times New Roman" w:cs="Times New Roman"/>
          <w:i/>
          <w:iCs/>
          <w:sz w:val="20"/>
          <w:szCs w:val="20"/>
        </w:rPr>
      </w:pPr>
    </w:p>
    <w:p w14:paraId="43563889" w14:textId="77777777" w:rsidR="00346D78" w:rsidRDefault="00346D78" w:rsidP="00346D78">
      <w:pPr>
        <w:contextualSpacing/>
        <w:rPr>
          <w:rFonts w:ascii="Times New Roman" w:hAnsi="Times New Roman" w:cs="Times New Roman"/>
          <w:i/>
          <w:iCs/>
          <w:sz w:val="20"/>
          <w:szCs w:val="20"/>
        </w:rPr>
      </w:pPr>
    </w:p>
    <w:p w14:paraId="5DC3C765" w14:textId="77777777" w:rsidR="00346D78" w:rsidRDefault="00346D78" w:rsidP="00346D78">
      <w:pPr>
        <w:contextualSpacing/>
        <w:rPr>
          <w:rFonts w:ascii="Times New Roman" w:hAnsi="Times New Roman" w:cs="Times New Roman"/>
          <w:i/>
          <w:iCs/>
          <w:sz w:val="20"/>
          <w:szCs w:val="20"/>
        </w:rPr>
      </w:pPr>
    </w:p>
    <w:p w14:paraId="3AC54F8C" w14:textId="77777777" w:rsidR="00346D78" w:rsidRDefault="00346D78" w:rsidP="00346D78">
      <w:pPr>
        <w:contextualSpacing/>
        <w:rPr>
          <w:rFonts w:ascii="Times New Roman" w:hAnsi="Times New Roman" w:cs="Times New Roman"/>
          <w:i/>
          <w:iCs/>
          <w:sz w:val="20"/>
          <w:szCs w:val="20"/>
        </w:rPr>
      </w:pPr>
    </w:p>
    <w:p w14:paraId="3E89903E" w14:textId="77777777" w:rsidR="00346D78" w:rsidRDefault="00346D78" w:rsidP="00346D78">
      <w:pPr>
        <w:contextualSpacing/>
        <w:rPr>
          <w:rFonts w:ascii="Times New Roman" w:hAnsi="Times New Roman" w:cs="Times New Roman"/>
          <w:i/>
          <w:iCs/>
          <w:sz w:val="20"/>
          <w:szCs w:val="20"/>
        </w:rPr>
      </w:pPr>
    </w:p>
    <w:p w14:paraId="1060F6D3" w14:textId="77777777" w:rsidR="00346D78" w:rsidRDefault="00346D78"/>
    <w:p w14:paraId="64A88583" w14:textId="77777777" w:rsidR="00E34AD6" w:rsidRDefault="00E34AD6"/>
    <w:sectPr w:rsidR="00E34AD6">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3E7364" w14:textId="77777777" w:rsidR="00195E13" w:rsidRDefault="00195E13" w:rsidP="006A7A80">
      <w:pPr>
        <w:spacing w:after="0" w:line="240" w:lineRule="auto"/>
      </w:pPr>
      <w:r>
        <w:separator/>
      </w:r>
    </w:p>
  </w:endnote>
  <w:endnote w:type="continuationSeparator" w:id="0">
    <w:p w14:paraId="5B0D39DB" w14:textId="77777777" w:rsidR="00195E13" w:rsidRDefault="00195E13" w:rsidP="006A7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9D090" w14:textId="77777777" w:rsidR="006A7A80" w:rsidRDefault="006A7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2392725"/>
      <w:docPartObj>
        <w:docPartGallery w:val="Page Numbers (Bottom of Page)"/>
        <w:docPartUnique/>
      </w:docPartObj>
    </w:sdtPr>
    <w:sdtEndPr>
      <w:rPr>
        <w:noProof/>
      </w:rPr>
    </w:sdtEndPr>
    <w:sdtContent>
      <w:p w14:paraId="119713A2" w14:textId="7C9F0A49" w:rsidR="006A7A80" w:rsidRDefault="006A7A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FF27D3" w14:textId="77777777" w:rsidR="006A7A80" w:rsidRDefault="006A7A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C174E" w14:textId="77777777" w:rsidR="006A7A80" w:rsidRDefault="006A7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A0DBE3" w14:textId="77777777" w:rsidR="00195E13" w:rsidRDefault="00195E13" w:rsidP="006A7A80">
      <w:pPr>
        <w:spacing w:after="0" w:line="240" w:lineRule="auto"/>
      </w:pPr>
      <w:r>
        <w:separator/>
      </w:r>
    </w:p>
  </w:footnote>
  <w:footnote w:type="continuationSeparator" w:id="0">
    <w:p w14:paraId="5358D7A5" w14:textId="77777777" w:rsidR="00195E13" w:rsidRDefault="00195E13" w:rsidP="006A7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3CF362" w14:textId="77777777" w:rsidR="006A7A80" w:rsidRDefault="006A7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6276A" w14:textId="77777777" w:rsidR="006A7A80" w:rsidRDefault="006A7A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5B16EF" w14:textId="77777777" w:rsidR="006A7A80" w:rsidRDefault="006A7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E51E50"/>
    <w:multiLevelType w:val="hybridMultilevel"/>
    <w:tmpl w:val="36560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AC40FB"/>
    <w:multiLevelType w:val="hybridMultilevel"/>
    <w:tmpl w:val="5358AD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6415004">
    <w:abstractNumId w:val="0"/>
  </w:num>
  <w:num w:numId="2" w16cid:durableId="774056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CDA"/>
    <w:rsid w:val="00002551"/>
    <w:rsid w:val="00021253"/>
    <w:rsid w:val="00040E72"/>
    <w:rsid w:val="000569CD"/>
    <w:rsid w:val="00073FE5"/>
    <w:rsid w:val="00082A2A"/>
    <w:rsid w:val="00085A41"/>
    <w:rsid w:val="00093061"/>
    <w:rsid w:val="000A5BB8"/>
    <w:rsid w:val="000A7937"/>
    <w:rsid w:val="000B1B2F"/>
    <w:rsid w:val="000C2E1F"/>
    <w:rsid w:val="000D04B3"/>
    <w:rsid w:val="000D4EDC"/>
    <w:rsid w:val="000F13C4"/>
    <w:rsid w:val="00101010"/>
    <w:rsid w:val="00101F6E"/>
    <w:rsid w:val="00117C4F"/>
    <w:rsid w:val="00134CAE"/>
    <w:rsid w:val="0014599D"/>
    <w:rsid w:val="00152C17"/>
    <w:rsid w:val="00176BB4"/>
    <w:rsid w:val="0017736D"/>
    <w:rsid w:val="00183ADC"/>
    <w:rsid w:val="0018607C"/>
    <w:rsid w:val="00187AE6"/>
    <w:rsid w:val="00195E13"/>
    <w:rsid w:val="001B461F"/>
    <w:rsid w:val="001C1A02"/>
    <w:rsid w:val="001D25C1"/>
    <w:rsid w:val="001D2D7B"/>
    <w:rsid w:val="001E449F"/>
    <w:rsid w:val="001F145B"/>
    <w:rsid w:val="00207159"/>
    <w:rsid w:val="00212243"/>
    <w:rsid w:val="00215955"/>
    <w:rsid w:val="0023277C"/>
    <w:rsid w:val="002432B2"/>
    <w:rsid w:val="00272A4A"/>
    <w:rsid w:val="00291BB6"/>
    <w:rsid w:val="002A6DCD"/>
    <w:rsid w:val="002B1A1B"/>
    <w:rsid w:val="002D52F0"/>
    <w:rsid w:val="002F2C07"/>
    <w:rsid w:val="00304FAB"/>
    <w:rsid w:val="003306FE"/>
    <w:rsid w:val="00332FE4"/>
    <w:rsid w:val="00346D78"/>
    <w:rsid w:val="00393E2E"/>
    <w:rsid w:val="00394918"/>
    <w:rsid w:val="003A11EB"/>
    <w:rsid w:val="003A3590"/>
    <w:rsid w:val="003A3E22"/>
    <w:rsid w:val="003B2C26"/>
    <w:rsid w:val="003B5673"/>
    <w:rsid w:val="003B6E9E"/>
    <w:rsid w:val="003C4E17"/>
    <w:rsid w:val="003D03B0"/>
    <w:rsid w:val="003F52F5"/>
    <w:rsid w:val="00401255"/>
    <w:rsid w:val="00405BF9"/>
    <w:rsid w:val="00433B87"/>
    <w:rsid w:val="0045347F"/>
    <w:rsid w:val="004602BD"/>
    <w:rsid w:val="00487558"/>
    <w:rsid w:val="004A1664"/>
    <w:rsid w:val="004B7180"/>
    <w:rsid w:val="00526E0A"/>
    <w:rsid w:val="005779E7"/>
    <w:rsid w:val="00586D1C"/>
    <w:rsid w:val="00595407"/>
    <w:rsid w:val="00597DF4"/>
    <w:rsid w:val="005E071D"/>
    <w:rsid w:val="00604FF1"/>
    <w:rsid w:val="0060781C"/>
    <w:rsid w:val="00617CCA"/>
    <w:rsid w:val="00623543"/>
    <w:rsid w:val="00631E0F"/>
    <w:rsid w:val="006343B0"/>
    <w:rsid w:val="00682998"/>
    <w:rsid w:val="00687B75"/>
    <w:rsid w:val="00691504"/>
    <w:rsid w:val="00696529"/>
    <w:rsid w:val="006A7A80"/>
    <w:rsid w:val="006C2915"/>
    <w:rsid w:val="006D1AF2"/>
    <w:rsid w:val="0071289F"/>
    <w:rsid w:val="007169FC"/>
    <w:rsid w:val="00736BCA"/>
    <w:rsid w:val="00755816"/>
    <w:rsid w:val="00765B58"/>
    <w:rsid w:val="007729D5"/>
    <w:rsid w:val="0077387C"/>
    <w:rsid w:val="007B2387"/>
    <w:rsid w:val="007D698E"/>
    <w:rsid w:val="007E2C9C"/>
    <w:rsid w:val="007E7DC8"/>
    <w:rsid w:val="007F6929"/>
    <w:rsid w:val="007F7361"/>
    <w:rsid w:val="0080693F"/>
    <w:rsid w:val="008142CC"/>
    <w:rsid w:val="00835445"/>
    <w:rsid w:val="00844707"/>
    <w:rsid w:val="00855CA1"/>
    <w:rsid w:val="00863B32"/>
    <w:rsid w:val="00874F1D"/>
    <w:rsid w:val="00883E4D"/>
    <w:rsid w:val="008A1A40"/>
    <w:rsid w:val="008B0FA8"/>
    <w:rsid w:val="008B39DF"/>
    <w:rsid w:val="008C0991"/>
    <w:rsid w:val="008D469D"/>
    <w:rsid w:val="008D4D8F"/>
    <w:rsid w:val="008E35DC"/>
    <w:rsid w:val="0090458D"/>
    <w:rsid w:val="00924EDE"/>
    <w:rsid w:val="009269A2"/>
    <w:rsid w:val="009301B2"/>
    <w:rsid w:val="00941CA1"/>
    <w:rsid w:val="00946BE5"/>
    <w:rsid w:val="00975F64"/>
    <w:rsid w:val="00991FC2"/>
    <w:rsid w:val="00994A4A"/>
    <w:rsid w:val="009A048D"/>
    <w:rsid w:val="009A7F13"/>
    <w:rsid w:val="009C0890"/>
    <w:rsid w:val="009F0CC0"/>
    <w:rsid w:val="00A07D93"/>
    <w:rsid w:val="00A21FDD"/>
    <w:rsid w:val="00A25263"/>
    <w:rsid w:val="00A26BA0"/>
    <w:rsid w:val="00A42981"/>
    <w:rsid w:val="00A4525B"/>
    <w:rsid w:val="00A506BF"/>
    <w:rsid w:val="00A6387F"/>
    <w:rsid w:val="00A76ECF"/>
    <w:rsid w:val="00AC2061"/>
    <w:rsid w:val="00AD1C5C"/>
    <w:rsid w:val="00AE07EC"/>
    <w:rsid w:val="00AE16A5"/>
    <w:rsid w:val="00AF6496"/>
    <w:rsid w:val="00B00060"/>
    <w:rsid w:val="00B01FFB"/>
    <w:rsid w:val="00B029A0"/>
    <w:rsid w:val="00B0624D"/>
    <w:rsid w:val="00B1798A"/>
    <w:rsid w:val="00B40867"/>
    <w:rsid w:val="00B41A10"/>
    <w:rsid w:val="00B437EB"/>
    <w:rsid w:val="00B56D46"/>
    <w:rsid w:val="00B56DC6"/>
    <w:rsid w:val="00B779BD"/>
    <w:rsid w:val="00BD1833"/>
    <w:rsid w:val="00BD3EA6"/>
    <w:rsid w:val="00BD670D"/>
    <w:rsid w:val="00BD79A4"/>
    <w:rsid w:val="00C03A7B"/>
    <w:rsid w:val="00C23EA1"/>
    <w:rsid w:val="00C36A7F"/>
    <w:rsid w:val="00C42445"/>
    <w:rsid w:val="00C51192"/>
    <w:rsid w:val="00C6791B"/>
    <w:rsid w:val="00C852A8"/>
    <w:rsid w:val="00C87376"/>
    <w:rsid w:val="00C9197F"/>
    <w:rsid w:val="00CA32D9"/>
    <w:rsid w:val="00CB6179"/>
    <w:rsid w:val="00CC0934"/>
    <w:rsid w:val="00CD4DF8"/>
    <w:rsid w:val="00CE3893"/>
    <w:rsid w:val="00CF16B6"/>
    <w:rsid w:val="00D050D2"/>
    <w:rsid w:val="00D24404"/>
    <w:rsid w:val="00D35D03"/>
    <w:rsid w:val="00D43B25"/>
    <w:rsid w:val="00D451CC"/>
    <w:rsid w:val="00D754B8"/>
    <w:rsid w:val="00D770DB"/>
    <w:rsid w:val="00DA22CD"/>
    <w:rsid w:val="00DB1B83"/>
    <w:rsid w:val="00DC102F"/>
    <w:rsid w:val="00DC4401"/>
    <w:rsid w:val="00DC6D5E"/>
    <w:rsid w:val="00DD7E29"/>
    <w:rsid w:val="00DE00EF"/>
    <w:rsid w:val="00DE6ED3"/>
    <w:rsid w:val="00DE6F26"/>
    <w:rsid w:val="00DE7D08"/>
    <w:rsid w:val="00E02620"/>
    <w:rsid w:val="00E0327B"/>
    <w:rsid w:val="00E04FE8"/>
    <w:rsid w:val="00E21BCF"/>
    <w:rsid w:val="00E32AA7"/>
    <w:rsid w:val="00E34AD6"/>
    <w:rsid w:val="00E4150A"/>
    <w:rsid w:val="00E469F3"/>
    <w:rsid w:val="00E51CDA"/>
    <w:rsid w:val="00E76B7F"/>
    <w:rsid w:val="00E8369F"/>
    <w:rsid w:val="00EB0910"/>
    <w:rsid w:val="00EC50AB"/>
    <w:rsid w:val="00EE5983"/>
    <w:rsid w:val="00EF6CA7"/>
    <w:rsid w:val="00EF725A"/>
    <w:rsid w:val="00F03E99"/>
    <w:rsid w:val="00F112EE"/>
    <w:rsid w:val="00F11B83"/>
    <w:rsid w:val="00F148E9"/>
    <w:rsid w:val="00F24396"/>
    <w:rsid w:val="00F408B5"/>
    <w:rsid w:val="00F424BF"/>
    <w:rsid w:val="00F44DE5"/>
    <w:rsid w:val="00F6346B"/>
    <w:rsid w:val="00F67794"/>
    <w:rsid w:val="00F70830"/>
    <w:rsid w:val="00F712F9"/>
    <w:rsid w:val="00F97AE6"/>
    <w:rsid w:val="00FA16A2"/>
    <w:rsid w:val="00FA7321"/>
    <w:rsid w:val="00FB1911"/>
    <w:rsid w:val="00FB25BE"/>
    <w:rsid w:val="00FD306D"/>
    <w:rsid w:val="00FD4555"/>
    <w:rsid w:val="00FF0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5F8E"/>
  <w15:chartTrackingRefBased/>
  <w15:docId w15:val="{FC68D4B7-E574-4B5C-982B-F4D6F09BF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CDA"/>
  </w:style>
  <w:style w:type="paragraph" w:styleId="Heading1">
    <w:name w:val="heading 1"/>
    <w:basedOn w:val="Normal"/>
    <w:next w:val="Normal"/>
    <w:link w:val="Heading1Char"/>
    <w:uiPriority w:val="9"/>
    <w:qFormat/>
    <w:rsid w:val="00E51C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C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C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C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C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C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C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C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C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C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C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C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C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C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C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C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C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CDA"/>
    <w:rPr>
      <w:rFonts w:eastAsiaTheme="majorEastAsia" w:cstheme="majorBidi"/>
      <w:color w:val="272727" w:themeColor="text1" w:themeTint="D8"/>
    </w:rPr>
  </w:style>
  <w:style w:type="paragraph" w:styleId="Title">
    <w:name w:val="Title"/>
    <w:basedOn w:val="Normal"/>
    <w:next w:val="Normal"/>
    <w:link w:val="TitleChar"/>
    <w:uiPriority w:val="10"/>
    <w:qFormat/>
    <w:rsid w:val="00E51C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C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C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C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CDA"/>
    <w:pPr>
      <w:spacing w:before="160"/>
      <w:jc w:val="center"/>
    </w:pPr>
    <w:rPr>
      <w:i/>
      <w:iCs/>
      <w:color w:val="404040" w:themeColor="text1" w:themeTint="BF"/>
    </w:rPr>
  </w:style>
  <w:style w:type="character" w:customStyle="1" w:styleId="QuoteChar">
    <w:name w:val="Quote Char"/>
    <w:basedOn w:val="DefaultParagraphFont"/>
    <w:link w:val="Quote"/>
    <w:uiPriority w:val="29"/>
    <w:rsid w:val="00E51CDA"/>
    <w:rPr>
      <w:i/>
      <w:iCs/>
      <w:color w:val="404040" w:themeColor="text1" w:themeTint="BF"/>
    </w:rPr>
  </w:style>
  <w:style w:type="paragraph" w:styleId="ListParagraph">
    <w:name w:val="List Paragraph"/>
    <w:basedOn w:val="Normal"/>
    <w:uiPriority w:val="34"/>
    <w:qFormat/>
    <w:rsid w:val="00E51CDA"/>
    <w:pPr>
      <w:ind w:left="720"/>
      <w:contextualSpacing/>
    </w:pPr>
  </w:style>
  <w:style w:type="character" w:styleId="IntenseEmphasis">
    <w:name w:val="Intense Emphasis"/>
    <w:basedOn w:val="DefaultParagraphFont"/>
    <w:uiPriority w:val="21"/>
    <w:qFormat/>
    <w:rsid w:val="00E51CDA"/>
    <w:rPr>
      <w:i/>
      <w:iCs/>
      <w:color w:val="0F4761" w:themeColor="accent1" w:themeShade="BF"/>
    </w:rPr>
  </w:style>
  <w:style w:type="paragraph" w:styleId="IntenseQuote">
    <w:name w:val="Intense Quote"/>
    <w:basedOn w:val="Normal"/>
    <w:next w:val="Normal"/>
    <w:link w:val="IntenseQuoteChar"/>
    <w:uiPriority w:val="30"/>
    <w:qFormat/>
    <w:rsid w:val="00E51C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CDA"/>
    <w:rPr>
      <w:i/>
      <w:iCs/>
      <w:color w:val="0F4761" w:themeColor="accent1" w:themeShade="BF"/>
    </w:rPr>
  </w:style>
  <w:style w:type="character" w:styleId="IntenseReference">
    <w:name w:val="Intense Reference"/>
    <w:basedOn w:val="DefaultParagraphFont"/>
    <w:uiPriority w:val="32"/>
    <w:qFormat/>
    <w:rsid w:val="00E51CDA"/>
    <w:rPr>
      <w:b/>
      <w:bCs/>
      <w:smallCaps/>
      <w:color w:val="0F4761" w:themeColor="accent1" w:themeShade="BF"/>
      <w:spacing w:val="5"/>
    </w:rPr>
  </w:style>
  <w:style w:type="character" w:styleId="CommentReference">
    <w:name w:val="annotation reference"/>
    <w:basedOn w:val="DefaultParagraphFont"/>
    <w:uiPriority w:val="99"/>
    <w:semiHidden/>
    <w:unhideWhenUsed/>
    <w:rsid w:val="00E51CDA"/>
    <w:rPr>
      <w:sz w:val="16"/>
      <w:szCs w:val="16"/>
    </w:rPr>
  </w:style>
  <w:style w:type="paragraph" w:styleId="CommentText">
    <w:name w:val="annotation text"/>
    <w:basedOn w:val="Normal"/>
    <w:link w:val="CommentTextChar"/>
    <w:uiPriority w:val="99"/>
    <w:unhideWhenUsed/>
    <w:rsid w:val="00E51CDA"/>
    <w:pPr>
      <w:spacing w:line="240" w:lineRule="auto"/>
    </w:pPr>
    <w:rPr>
      <w:sz w:val="20"/>
      <w:szCs w:val="20"/>
    </w:rPr>
  </w:style>
  <w:style w:type="character" w:customStyle="1" w:styleId="CommentTextChar">
    <w:name w:val="Comment Text Char"/>
    <w:basedOn w:val="DefaultParagraphFont"/>
    <w:link w:val="CommentText"/>
    <w:uiPriority w:val="99"/>
    <w:rsid w:val="00E51CDA"/>
    <w:rPr>
      <w:sz w:val="20"/>
      <w:szCs w:val="20"/>
    </w:rPr>
  </w:style>
  <w:style w:type="paragraph" w:styleId="Header">
    <w:name w:val="header"/>
    <w:basedOn w:val="Normal"/>
    <w:link w:val="HeaderChar"/>
    <w:uiPriority w:val="99"/>
    <w:unhideWhenUsed/>
    <w:rsid w:val="006A7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A80"/>
  </w:style>
  <w:style w:type="paragraph" w:styleId="Footer">
    <w:name w:val="footer"/>
    <w:basedOn w:val="Normal"/>
    <w:link w:val="FooterChar"/>
    <w:uiPriority w:val="99"/>
    <w:unhideWhenUsed/>
    <w:rsid w:val="006A7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A80"/>
  </w:style>
  <w:style w:type="character" w:styleId="Hyperlink">
    <w:name w:val="Hyperlink"/>
    <w:basedOn w:val="DefaultParagraphFont"/>
    <w:uiPriority w:val="99"/>
    <w:unhideWhenUsed/>
    <w:rsid w:val="00F11B83"/>
    <w:rPr>
      <w:color w:val="467886" w:themeColor="hyperlink"/>
      <w:u w:val="single"/>
    </w:rPr>
  </w:style>
  <w:style w:type="table" w:styleId="PlainTable2">
    <w:name w:val="Plain Table 2"/>
    <w:basedOn w:val="TableNormal"/>
    <w:uiPriority w:val="42"/>
    <w:rsid w:val="00346D78"/>
    <w:pPr>
      <w:spacing w:after="0" w:line="240" w:lineRule="auto"/>
    </w:pPr>
    <w:rPr>
      <w:rFonts w:ascii="Times New Roman" w:hAnsi="Times New Roman" w:cs="Times New Roman (Body C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346D78"/>
    <w:pPr>
      <w:spacing w:after="0" w:line="240" w:lineRule="auto"/>
    </w:pPr>
    <w:rPr>
      <w:rFonts w:ascii="Times New Roman" w:hAnsi="Times New Roman" w:cs="Times New Roman (Body C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DC102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C2E1F"/>
    <w:pPr>
      <w:spacing w:after="0" w:line="240" w:lineRule="auto"/>
    </w:pPr>
  </w:style>
  <w:style w:type="paragraph" w:styleId="CommentSubject">
    <w:name w:val="annotation subject"/>
    <w:basedOn w:val="CommentText"/>
    <w:next w:val="CommentText"/>
    <w:link w:val="CommentSubjectChar"/>
    <w:uiPriority w:val="99"/>
    <w:semiHidden/>
    <w:unhideWhenUsed/>
    <w:rsid w:val="00E76B7F"/>
    <w:rPr>
      <w:b/>
      <w:bCs/>
    </w:rPr>
  </w:style>
  <w:style w:type="character" w:customStyle="1" w:styleId="CommentSubjectChar">
    <w:name w:val="Comment Subject Char"/>
    <w:basedOn w:val="CommentTextChar"/>
    <w:link w:val="CommentSubject"/>
    <w:uiPriority w:val="99"/>
    <w:semiHidden/>
    <w:rsid w:val="00E76B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inicialtrials.gov" TargetMode="External"/><Relationship Id="rId13" Type="http://schemas.openxmlformats.org/officeDocument/2006/relationships/hyperlink" Target="https://psycnet.apa.org/doi/10.1037/0022-006X.59.1.12" TargetMode="External"/><Relationship Id="rId18" Type="http://schemas.openxmlformats.org/officeDocument/2006/relationships/hyperlink" Target="https://www.who.int/news-room/fact-sheets/detail/suicide"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mailto:bpmarx@bu.edu" TargetMode="External"/><Relationship Id="rId12" Type="http://schemas.openxmlformats.org/officeDocument/2006/relationships/hyperlink" Target="https://www.ncbi.nlm.nih.gov/books/NBK220944/" TargetMode="External"/><Relationship Id="rId17" Type="http://schemas.openxmlformats.org/officeDocument/2006/relationships/hyperlink" Target="https://www.jointcommission.org/standards/national-patient-safety-goal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1037/t03904-000" TargetMode="External"/><Relationship Id="rId20" Type="http://schemas.openxmlformats.org/officeDocument/2006/relationships/image" Target="cid:838e0d9c-eb36-4d25-b2aa-555fc40fa8c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suicide/facts/data.htm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37/t52667-000"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cdc.gov/suicide/facts/data.html"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doi.org/10.1037/t00742-000" TargetMode="External"/><Relationship Id="rId14" Type="http://schemas.openxmlformats.org/officeDocument/2006/relationships/hyperlink" Target="https://psycnet.apa.org/doi/10.1027/0227-5910/a000615"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6440</Words>
  <Characters>36712</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Rudd</dc:creator>
  <cp:keywords/>
  <dc:description/>
  <cp:lastModifiedBy>Josh Hackney (jthckney)</cp:lastModifiedBy>
  <cp:revision>3</cp:revision>
  <dcterms:created xsi:type="dcterms:W3CDTF">2026-10-07T16:04:00Z</dcterms:created>
  <dcterms:modified xsi:type="dcterms:W3CDTF">2026-10-07T19:35:00Z</dcterms:modified>
</cp:coreProperties>
</file>